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8810"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16"/>
        <w:gridCol w:w="4984"/>
      </w:tblGrid>
      <w:tr w:rsidR="00B7577C" w:rsidRPr="006F3583" w14:paraId="50761034" w14:textId="77777777" w:rsidTr="00902812">
        <w:tc>
          <w:tcPr>
            <w:tcW w:w="8810"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E565BC" w:rsidRPr="006F3583" w14:paraId="1E7F59E6" w14:textId="77777777" w:rsidTr="00902812">
        <w:tc>
          <w:tcPr>
            <w:tcW w:w="3940"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4870" w:type="dxa"/>
            <w:tcMar>
              <w:top w:w="43" w:type="dxa"/>
              <w:left w:w="0" w:type="dxa"/>
              <w:bottom w:w="43" w:type="dxa"/>
              <w:right w:w="0" w:type="dxa"/>
            </w:tcMar>
          </w:tcPr>
          <w:p w14:paraId="4BE154CF" w14:textId="7D2EF1D9" w:rsidR="0099263D" w:rsidRPr="006F3583" w:rsidRDefault="0099263D" w:rsidP="0099263D">
            <w:pPr>
              <w:rPr>
                <w:rFonts w:asciiTheme="minorHAnsi" w:hAnsiTheme="minorHAnsi" w:cstheme="minorHAnsi"/>
                <w:sz w:val="22"/>
                <w:szCs w:val="22"/>
              </w:rPr>
            </w:pPr>
          </w:p>
        </w:tc>
      </w:tr>
      <w:tr w:rsidR="00E565BC" w:rsidRPr="006F3583" w14:paraId="7AE9C20E" w14:textId="77777777" w:rsidTr="00902812">
        <w:tc>
          <w:tcPr>
            <w:tcW w:w="3940"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4870" w:type="dxa"/>
            <w:tcMar>
              <w:top w:w="43" w:type="dxa"/>
              <w:left w:w="0" w:type="dxa"/>
              <w:bottom w:w="43" w:type="dxa"/>
              <w:right w:w="0" w:type="dxa"/>
            </w:tcMar>
          </w:tcPr>
          <w:p w14:paraId="5CDF3B10" w14:textId="1EAA2B1C" w:rsidR="0099263D" w:rsidRPr="006F3583" w:rsidRDefault="00546D2C" w:rsidP="0099263D">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w:t>
            </w:r>
            <w:proofErr w:type="spellStart"/>
            <w:r w:rsidRPr="00546D2C">
              <w:rPr>
                <w:rFonts w:asciiTheme="minorHAnsi" w:hAnsiTheme="minorHAnsi" w:cstheme="minorHAnsi"/>
                <w:sz w:val="22"/>
                <w:szCs w:val="22"/>
              </w:rPr>
              <w:t>Xtend</w:t>
            </w:r>
            <w:proofErr w:type="spellEnd"/>
            <w:r w:rsidRPr="00546D2C">
              <w:rPr>
                <w:rFonts w:asciiTheme="minorHAnsi" w:hAnsiTheme="minorHAnsi" w:cstheme="minorHAnsi"/>
                <w:sz w:val="22"/>
                <w:szCs w:val="22"/>
              </w:rPr>
              <w:t xml:space="preserve"> soybeans</w:t>
            </w:r>
          </w:p>
        </w:tc>
      </w:tr>
      <w:tr w:rsidR="00E565BC" w:rsidRPr="006F3583" w14:paraId="6B0D2152" w14:textId="77777777" w:rsidTr="00902812">
        <w:tc>
          <w:tcPr>
            <w:tcW w:w="3940"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4870" w:type="dxa"/>
            <w:tcMar>
              <w:top w:w="43" w:type="dxa"/>
              <w:left w:w="0" w:type="dxa"/>
              <w:bottom w:w="43" w:type="dxa"/>
              <w:right w:w="0" w:type="dxa"/>
            </w:tcMar>
          </w:tcPr>
          <w:p w14:paraId="00161AC1" w14:textId="64110544"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University of Missouri</w:t>
            </w:r>
          </w:p>
        </w:tc>
      </w:tr>
      <w:tr w:rsidR="00E565BC" w:rsidRPr="006F3583" w14:paraId="6D4C3E68" w14:textId="77777777" w:rsidTr="00902812">
        <w:tc>
          <w:tcPr>
            <w:tcW w:w="3940"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4870" w:type="dxa"/>
            <w:tcMar>
              <w:top w:w="43" w:type="dxa"/>
              <w:left w:w="0" w:type="dxa"/>
              <w:bottom w:w="43" w:type="dxa"/>
              <w:right w:w="0" w:type="dxa"/>
            </w:tcMar>
          </w:tcPr>
          <w:p w14:paraId="117FC243" w14:textId="4117DC51" w:rsidR="0099263D" w:rsidRPr="006F3583" w:rsidRDefault="00B0112F" w:rsidP="0099263D">
            <w:pPr>
              <w:rPr>
                <w:rFonts w:asciiTheme="minorHAnsi" w:hAnsiTheme="minorHAnsi" w:cstheme="minorHAnsi"/>
                <w:sz w:val="22"/>
                <w:szCs w:val="22"/>
              </w:rPr>
            </w:pPr>
            <w:proofErr w:type="spellStart"/>
            <w:r w:rsidRPr="006F3583">
              <w:rPr>
                <w:rFonts w:asciiTheme="minorHAnsi" w:hAnsiTheme="minorHAnsi" w:cstheme="minorHAnsi"/>
                <w:sz w:val="22"/>
                <w:szCs w:val="22"/>
              </w:rPr>
              <w:t>Pengyin</w:t>
            </w:r>
            <w:proofErr w:type="spellEnd"/>
            <w:r w:rsidRPr="006F3583">
              <w:rPr>
                <w:rFonts w:asciiTheme="minorHAnsi" w:hAnsiTheme="minorHAnsi" w:cstheme="minorHAnsi"/>
                <w:sz w:val="22"/>
                <w:szCs w:val="22"/>
              </w:rPr>
              <w:t xml:space="preserve"> Chen</w:t>
            </w:r>
          </w:p>
        </w:tc>
      </w:tr>
      <w:tr w:rsidR="00E565BC" w:rsidRPr="006F3583" w14:paraId="73C9EC44" w14:textId="77777777" w:rsidTr="00902812">
        <w:tc>
          <w:tcPr>
            <w:tcW w:w="3940"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4870" w:type="dxa"/>
            <w:tcMar>
              <w:top w:w="43" w:type="dxa"/>
              <w:left w:w="0" w:type="dxa"/>
              <w:bottom w:w="43" w:type="dxa"/>
              <w:right w:w="0" w:type="dxa"/>
            </w:tcMar>
          </w:tcPr>
          <w:p w14:paraId="0E051381" w14:textId="29A05B59" w:rsidR="0099263D" w:rsidRPr="006F3583" w:rsidRDefault="00546D2C" w:rsidP="00C704F5">
            <w:pPr>
              <w:rPr>
                <w:rFonts w:asciiTheme="minorHAnsi" w:hAnsiTheme="minorHAnsi" w:cstheme="minorHAnsi"/>
                <w:sz w:val="22"/>
                <w:szCs w:val="22"/>
              </w:rPr>
            </w:pPr>
            <w:proofErr w:type="spellStart"/>
            <w:r>
              <w:rPr>
                <w:rFonts w:asciiTheme="minorHAnsi" w:hAnsiTheme="minorHAnsi" w:cstheme="minorHAnsi"/>
                <w:sz w:val="22"/>
                <w:szCs w:val="22"/>
              </w:rPr>
              <w:t>Caio</w:t>
            </w:r>
            <w:proofErr w:type="spellEnd"/>
            <w:r>
              <w:rPr>
                <w:rFonts w:asciiTheme="minorHAnsi" w:hAnsiTheme="minorHAnsi" w:cstheme="minorHAnsi"/>
                <w:sz w:val="22"/>
                <w:szCs w:val="22"/>
              </w:rPr>
              <w:t xml:space="preserve"> Canella</w:t>
            </w:r>
          </w:p>
        </w:tc>
      </w:tr>
      <w:tr w:rsidR="00E565BC" w:rsidRPr="006F3583" w14:paraId="13D0750D" w14:textId="77777777" w:rsidTr="00902812">
        <w:tc>
          <w:tcPr>
            <w:tcW w:w="3940"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4870" w:type="dxa"/>
            <w:tcMar>
              <w:top w:w="43" w:type="dxa"/>
              <w:left w:w="0" w:type="dxa"/>
              <w:bottom w:w="43" w:type="dxa"/>
              <w:right w:w="0" w:type="dxa"/>
            </w:tcMar>
          </w:tcPr>
          <w:p w14:paraId="150FA242" w14:textId="19135EA2" w:rsidR="00110DE9" w:rsidRPr="006F3583" w:rsidRDefault="0036455B" w:rsidP="00110DE9">
            <w:pPr>
              <w:rPr>
                <w:rFonts w:asciiTheme="minorHAnsi" w:hAnsiTheme="minorHAnsi" w:cstheme="minorHAnsi"/>
                <w:sz w:val="22"/>
                <w:szCs w:val="22"/>
              </w:rPr>
            </w:pPr>
            <w:r>
              <w:rPr>
                <w:rFonts w:asciiTheme="minorHAnsi" w:hAnsiTheme="minorHAnsi" w:cstheme="minorHAnsi"/>
                <w:sz w:val="22"/>
                <w:szCs w:val="22"/>
              </w:rPr>
              <w:t xml:space="preserve">December </w:t>
            </w:r>
            <w:r w:rsidR="0033241C" w:rsidRPr="006F3583">
              <w:rPr>
                <w:rFonts w:asciiTheme="minorHAnsi" w:hAnsiTheme="minorHAnsi" w:cstheme="minorHAnsi"/>
                <w:sz w:val="22"/>
                <w:szCs w:val="22"/>
              </w:rPr>
              <w:t>1</w:t>
            </w:r>
            <w:r w:rsidR="009B0A1B">
              <w:rPr>
                <w:rFonts w:asciiTheme="minorHAnsi" w:hAnsiTheme="minorHAnsi" w:cstheme="minorHAnsi"/>
                <w:sz w:val="22"/>
                <w:szCs w:val="22"/>
              </w:rPr>
              <w:t>6</w:t>
            </w:r>
            <w:r w:rsidR="0033241C" w:rsidRPr="006F3583">
              <w:rPr>
                <w:rFonts w:asciiTheme="minorHAnsi" w:hAnsiTheme="minorHAnsi" w:cstheme="minorHAnsi"/>
                <w:sz w:val="22"/>
                <w:szCs w:val="22"/>
              </w:rPr>
              <w:t>, 20</w:t>
            </w:r>
            <w:r w:rsidR="00C82D57" w:rsidRPr="006F3583">
              <w:rPr>
                <w:rFonts w:asciiTheme="minorHAnsi" w:hAnsiTheme="minorHAnsi" w:cstheme="minorHAnsi"/>
                <w:sz w:val="22"/>
                <w:szCs w:val="22"/>
              </w:rPr>
              <w:t>20</w:t>
            </w:r>
            <w:r w:rsidR="009B0A1B">
              <w:rPr>
                <w:rFonts w:asciiTheme="minorHAnsi" w:hAnsiTheme="minorHAnsi" w:cstheme="minorHAnsi"/>
                <w:sz w:val="22"/>
                <w:szCs w:val="22"/>
              </w:rPr>
              <w:t xml:space="preserve"> to March 15, 2021</w:t>
            </w:r>
          </w:p>
        </w:tc>
      </w:tr>
      <w:tr w:rsidR="0099263D" w:rsidRPr="006F3583" w14:paraId="70B6BDBD" w14:textId="77777777" w:rsidTr="00902812">
        <w:tc>
          <w:tcPr>
            <w:tcW w:w="8810" w:type="dxa"/>
            <w:gridSpan w:val="2"/>
            <w:tcMar>
              <w:top w:w="43" w:type="dxa"/>
              <w:left w:w="0" w:type="dxa"/>
              <w:bottom w:w="43" w:type="dxa"/>
              <w:right w:w="0" w:type="dxa"/>
            </w:tcMar>
          </w:tcPr>
          <w:p w14:paraId="2B8E5508" w14:textId="5696F9D6" w:rsidR="00696A20" w:rsidRPr="00FF17A7" w:rsidRDefault="0099263D" w:rsidP="0099263D">
            <w:pPr>
              <w:pStyle w:val="Heading2"/>
              <w:numPr>
                <w:ilvl w:val="0"/>
                <w:numId w:val="0"/>
              </w:numPr>
              <w:outlineLvl w:val="1"/>
              <w:rPr>
                <w:rFonts w:asciiTheme="minorHAnsi" w:hAnsiTheme="minorHAnsi" w:cstheme="minorHAnsi"/>
                <w:sz w:val="22"/>
                <w:szCs w:val="22"/>
              </w:rPr>
            </w:pPr>
            <w:r w:rsidRPr="00FF17A7">
              <w:rPr>
                <w:rFonts w:asciiTheme="minorHAnsi" w:hAnsiTheme="minorHAnsi" w:cstheme="minorHAnsi"/>
                <w:sz w:val="22"/>
                <w:szCs w:val="22"/>
              </w:rPr>
              <w:lastRenderedPageBreak/>
              <w:t>Project Status</w:t>
            </w:r>
            <w:r w:rsidR="009316C6" w:rsidRPr="00FF17A7">
              <w:rPr>
                <w:rFonts w:asciiTheme="minorHAnsi" w:hAnsiTheme="minorHAnsi" w:cstheme="minorHAnsi"/>
                <w:sz w:val="22"/>
                <w:szCs w:val="22"/>
              </w:rPr>
              <w:t xml:space="preserve">: </w:t>
            </w:r>
            <w:r w:rsidR="00696A20" w:rsidRPr="00FF17A7">
              <w:rPr>
                <w:rFonts w:asciiTheme="minorHAnsi" w:hAnsiTheme="minorHAnsi" w:cstheme="minorHAnsi"/>
                <w:sz w:val="22"/>
                <w:szCs w:val="22"/>
              </w:rPr>
              <w:t>On-going</w:t>
            </w:r>
          </w:p>
          <w:p w14:paraId="05AADABE" w14:textId="77777777" w:rsidR="0099263D" w:rsidRDefault="00696A20" w:rsidP="0099263D">
            <w:pPr>
              <w:pStyle w:val="Heading2"/>
              <w:numPr>
                <w:ilvl w:val="0"/>
                <w:numId w:val="0"/>
              </w:numPr>
              <w:outlineLvl w:val="1"/>
              <w:rPr>
                <w:rFonts w:asciiTheme="minorHAnsi" w:hAnsiTheme="minorHAnsi" w:cstheme="minorHAnsi"/>
                <w:b w:val="0"/>
                <w:sz w:val="22"/>
                <w:szCs w:val="22"/>
              </w:rPr>
            </w:pPr>
            <w:r w:rsidRPr="00FF17A7">
              <w:rPr>
                <w:rFonts w:asciiTheme="minorHAnsi" w:hAnsiTheme="minorHAnsi" w:cstheme="minorHAnsi"/>
                <w:sz w:val="22"/>
                <w:szCs w:val="22"/>
              </w:rPr>
              <w:t>(</w:t>
            </w:r>
            <w:r w:rsidR="0099263D" w:rsidRPr="00FF17A7">
              <w:rPr>
                <w:rFonts w:asciiTheme="minorHAnsi" w:hAnsiTheme="minorHAnsi" w:cstheme="minorHAnsi"/>
                <w:b w:val="0"/>
                <w:sz w:val="22"/>
                <w:szCs w:val="22"/>
              </w:rPr>
              <w:t>What key activities were undertaken and what were the key accomplishments during this quarter?  Please use this field to clearly and concisely report on project progress</w:t>
            </w:r>
            <w:r w:rsidRPr="00FF17A7">
              <w:rPr>
                <w:rFonts w:asciiTheme="minorHAnsi" w:hAnsiTheme="minorHAnsi" w:cstheme="minorHAnsi"/>
                <w:b w:val="0"/>
                <w:sz w:val="22"/>
                <w:szCs w:val="22"/>
              </w:rPr>
              <w:t>)</w:t>
            </w:r>
            <w:r w:rsidR="0099263D" w:rsidRPr="00FF17A7">
              <w:rPr>
                <w:rFonts w:asciiTheme="minorHAnsi" w:hAnsiTheme="minorHAnsi" w:cstheme="minorHAnsi"/>
                <w:b w:val="0"/>
                <w:sz w:val="22"/>
                <w:szCs w:val="22"/>
              </w:rPr>
              <w:t>.</w:t>
            </w:r>
            <w:r w:rsidR="00B0112F" w:rsidRPr="00FF17A7">
              <w:rPr>
                <w:rFonts w:asciiTheme="minorHAnsi" w:hAnsiTheme="minorHAnsi" w:cstheme="minorHAnsi"/>
                <w:b w:val="0"/>
                <w:sz w:val="22"/>
                <w:szCs w:val="22"/>
              </w:rPr>
              <w:t xml:space="preserve"> </w:t>
            </w:r>
          </w:p>
          <w:p w14:paraId="50249826" w14:textId="77777777" w:rsidR="00E565BC" w:rsidRDefault="00E565BC" w:rsidP="00E565BC"/>
          <w:p w14:paraId="61E1970E" w14:textId="77777777" w:rsidR="00E565BC" w:rsidRDefault="00E565BC" w:rsidP="00E565BC">
            <w:pPr>
              <w:rPr>
                <w:rFonts w:asciiTheme="minorHAnsi" w:hAnsiTheme="minorHAnsi" w:cstheme="minorHAnsi"/>
                <w:sz w:val="22"/>
                <w:szCs w:val="22"/>
              </w:rPr>
            </w:pPr>
            <w:r w:rsidRPr="00E565BC">
              <w:rPr>
                <w:rFonts w:asciiTheme="minorHAnsi" w:hAnsiTheme="minorHAnsi" w:cstheme="minorHAnsi"/>
                <w:sz w:val="22"/>
                <w:szCs w:val="22"/>
              </w:rPr>
              <w:t xml:space="preserve">In 2020 season, dicamba </w:t>
            </w:r>
            <w:r>
              <w:rPr>
                <w:rFonts w:asciiTheme="minorHAnsi" w:hAnsiTheme="minorHAnsi" w:cstheme="minorHAnsi"/>
                <w:sz w:val="22"/>
                <w:szCs w:val="22"/>
              </w:rPr>
              <w:t>off-target movement continued through the season and crop injury was evident in all our research plots. Early maturing lines were more severely impacted than late-maturing lines. We were able to collect visual scores, drone images, and yield data.</w:t>
            </w:r>
          </w:p>
          <w:p w14:paraId="3C26D517" w14:textId="4408528C" w:rsidR="00E565BC" w:rsidRDefault="00E565BC" w:rsidP="00E565BC">
            <w:pPr>
              <w:rPr>
                <w:rFonts w:asciiTheme="minorHAnsi" w:hAnsiTheme="minorHAnsi" w:cstheme="minorHAnsi"/>
                <w:sz w:val="22"/>
                <w:szCs w:val="22"/>
              </w:rPr>
            </w:pPr>
            <w:r>
              <w:rPr>
                <w:noProof/>
              </w:rPr>
              <w:drawing>
                <wp:inline distT="0" distB="0" distL="0" distR="0" wp14:anchorId="0E53A6CB" wp14:editId="51A90D2E">
                  <wp:extent cx="4140200" cy="3218717"/>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7108" t="17189" r="19924" b="7170"/>
                          <a:stretch/>
                        </pic:blipFill>
                        <pic:spPr>
                          <a:xfrm>
                            <a:off x="0" y="0"/>
                            <a:ext cx="4140200" cy="3218717"/>
                          </a:xfrm>
                          <a:prstGeom prst="rect">
                            <a:avLst/>
                          </a:prstGeom>
                        </pic:spPr>
                      </pic:pic>
                    </a:graphicData>
                  </a:graphic>
                </wp:inline>
              </w:drawing>
            </w:r>
          </w:p>
          <w:p w14:paraId="2A74655B" w14:textId="475B64D3" w:rsidR="00E565BC" w:rsidRDefault="00E565BC" w:rsidP="00E565BC">
            <w:pPr>
              <w:rPr>
                <w:rFonts w:asciiTheme="minorHAnsi" w:hAnsiTheme="minorHAnsi" w:cstheme="minorHAnsi"/>
                <w:sz w:val="22"/>
                <w:szCs w:val="22"/>
              </w:rPr>
            </w:pPr>
            <w:r w:rsidRPr="00E565BC">
              <w:rPr>
                <w:rFonts w:asciiTheme="minorHAnsi" w:hAnsiTheme="minorHAnsi" w:cstheme="minorHAnsi"/>
                <w:noProof/>
                <w:sz w:val="22"/>
                <w:szCs w:val="22"/>
              </w:rPr>
              <w:drawing>
                <wp:inline distT="0" distB="0" distL="0" distR="0" wp14:anchorId="464860C3" wp14:editId="07D6CF2E">
                  <wp:extent cx="4476750" cy="368399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8867"/>
                          <a:stretch/>
                        </pic:blipFill>
                        <pic:spPr>
                          <a:xfrm>
                            <a:off x="0" y="0"/>
                            <a:ext cx="4484419" cy="3690303"/>
                          </a:xfrm>
                          <a:prstGeom prst="rect">
                            <a:avLst/>
                          </a:prstGeom>
                        </pic:spPr>
                      </pic:pic>
                    </a:graphicData>
                  </a:graphic>
                </wp:inline>
              </w:drawing>
            </w:r>
          </w:p>
          <w:p w14:paraId="2479D395" w14:textId="77777777" w:rsidR="00E565BC" w:rsidRPr="00E565BC" w:rsidRDefault="00E565BC" w:rsidP="00E565BC">
            <w:pPr>
              <w:rPr>
                <w:rFonts w:asciiTheme="minorHAnsi" w:hAnsiTheme="minorHAnsi" w:cstheme="minorHAnsi"/>
                <w:sz w:val="22"/>
                <w:szCs w:val="22"/>
              </w:rPr>
            </w:pPr>
          </w:p>
        </w:tc>
      </w:tr>
      <w:tr w:rsidR="0099263D" w:rsidRPr="006F3583" w14:paraId="20FE75EB" w14:textId="77777777" w:rsidTr="00902812">
        <w:trPr>
          <w:trHeight w:val="8785"/>
        </w:trPr>
        <w:tc>
          <w:tcPr>
            <w:tcW w:w="8810" w:type="dxa"/>
            <w:gridSpan w:val="2"/>
            <w:shd w:val="clear" w:color="auto" w:fill="auto"/>
            <w:tcMar>
              <w:top w:w="43" w:type="dxa"/>
              <w:left w:w="0" w:type="dxa"/>
              <w:bottom w:w="43" w:type="dxa"/>
              <w:right w:w="0" w:type="dxa"/>
            </w:tcMar>
          </w:tcPr>
          <w:tbl>
            <w:tblPr>
              <w:tblStyle w:val="TableGrid"/>
              <w:tblW w:w="98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98"/>
              <w:gridCol w:w="182"/>
            </w:tblGrid>
            <w:tr w:rsidR="0075615C" w:rsidRPr="0075615C" w14:paraId="155215DA" w14:textId="77777777" w:rsidTr="00156B6F">
              <w:trPr>
                <w:trHeight w:val="6470"/>
              </w:trPr>
              <w:tc>
                <w:tcPr>
                  <w:tcW w:w="9880" w:type="dxa"/>
                  <w:gridSpan w:val="2"/>
                </w:tcPr>
                <w:p w14:paraId="020709E8" w14:textId="68CFF8AF" w:rsidR="0075615C" w:rsidRPr="0075615C" w:rsidRDefault="0075615C" w:rsidP="0075615C">
                  <w:pPr>
                    <w:rPr>
                      <w:rFonts w:asciiTheme="minorHAnsi" w:hAnsiTheme="minorHAnsi" w:cstheme="minorHAnsi"/>
                      <w:b/>
                      <w:sz w:val="22"/>
                      <w:szCs w:val="22"/>
                    </w:rPr>
                  </w:pPr>
                  <w:r w:rsidRPr="0075615C">
                    <w:rPr>
                      <w:rFonts w:asciiTheme="minorHAnsi" w:hAnsiTheme="minorHAnsi" w:cstheme="minorHAnsi"/>
                      <w:b/>
                      <w:sz w:val="22"/>
                      <w:szCs w:val="22"/>
                    </w:rPr>
                    <w:lastRenderedPageBreak/>
                    <w:t xml:space="preserve">2021 Research and Field Trials: </w:t>
                  </w:r>
                </w:p>
                <w:p w14:paraId="6313BE41" w14:textId="77777777" w:rsidR="0075615C" w:rsidRPr="0075615C" w:rsidRDefault="0075615C" w:rsidP="0075615C">
                  <w:pPr>
                    <w:numPr>
                      <w:ilvl w:val="0"/>
                      <w:numId w:val="6"/>
                    </w:numPr>
                    <w:rPr>
                      <w:rFonts w:asciiTheme="minorHAnsi" w:hAnsiTheme="minorHAnsi" w:cstheme="minorHAnsi"/>
                      <w:bCs w:val="0"/>
                      <w:sz w:val="22"/>
                      <w:szCs w:val="22"/>
                    </w:rPr>
                  </w:pPr>
                  <w:r w:rsidRPr="0075615C">
                    <w:rPr>
                      <w:rFonts w:asciiTheme="minorHAnsi" w:hAnsiTheme="minorHAnsi" w:cstheme="minorHAnsi"/>
                      <w:bCs w:val="0"/>
                      <w:sz w:val="22"/>
                      <w:szCs w:val="22"/>
                    </w:rPr>
                    <w:t>Yield x Dicamba damage – Advanced Breeding Lines</w:t>
                  </w:r>
                </w:p>
                <w:p w14:paraId="0776AD91" w14:textId="77777777" w:rsidR="0075615C" w:rsidRPr="0075615C" w:rsidRDefault="0075615C" w:rsidP="0075615C">
                  <w:pPr>
                    <w:rPr>
                      <w:rFonts w:asciiTheme="minorHAnsi" w:hAnsiTheme="minorHAnsi" w:cstheme="minorHAnsi"/>
                      <w:bCs w:val="0"/>
                      <w:sz w:val="22"/>
                      <w:szCs w:val="22"/>
                    </w:rPr>
                  </w:pPr>
                  <w:r w:rsidRPr="0075615C">
                    <w:rPr>
                      <w:rFonts w:asciiTheme="minorHAnsi" w:hAnsiTheme="minorHAnsi" w:cstheme="minorHAnsi"/>
                      <w:bCs w:val="0"/>
                      <w:sz w:val="22"/>
                      <w:szCs w:val="22"/>
                    </w:rPr>
                    <w:t xml:space="preserve">In 2021, we will screen 248 advanced breeding lines and </w:t>
                  </w:r>
                  <w:proofErr w:type="spellStart"/>
                  <w:r w:rsidRPr="0075615C">
                    <w:rPr>
                      <w:rFonts w:asciiTheme="minorHAnsi" w:hAnsiTheme="minorHAnsi" w:cstheme="minorHAnsi"/>
                      <w:bCs w:val="0"/>
                      <w:sz w:val="22"/>
                      <w:szCs w:val="22"/>
                    </w:rPr>
                    <w:t>Xtend</w:t>
                  </w:r>
                  <w:proofErr w:type="spellEnd"/>
                  <w:r w:rsidRPr="0075615C">
                    <w:rPr>
                      <w:rFonts w:asciiTheme="minorHAnsi" w:hAnsiTheme="minorHAnsi" w:cstheme="minorHAnsi"/>
                      <w:bCs w:val="0"/>
                      <w:sz w:val="22"/>
                      <w:szCs w:val="22"/>
                    </w:rPr>
                    <w:t xml:space="preserve"> checks across five locations each with three replications (15 different observations per line, roughly 4,000 total observations). In addition to the visual scores, plots will be digitally </w:t>
                  </w:r>
                  <w:proofErr w:type="spellStart"/>
                  <w:r w:rsidRPr="0075615C">
                    <w:rPr>
                      <w:rFonts w:asciiTheme="minorHAnsi" w:hAnsiTheme="minorHAnsi" w:cstheme="minorHAnsi"/>
                      <w:bCs w:val="0"/>
                      <w:sz w:val="22"/>
                      <w:szCs w:val="22"/>
                    </w:rPr>
                    <w:t>phenotyped</w:t>
                  </w:r>
                  <w:proofErr w:type="spellEnd"/>
                  <w:r w:rsidRPr="0075615C">
                    <w:rPr>
                      <w:rFonts w:asciiTheme="minorHAnsi" w:hAnsiTheme="minorHAnsi" w:cstheme="minorHAnsi"/>
                      <w:bCs w:val="0"/>
                      <w:sz w:val="22"/>
                      <w:szCs w:val="22"/>
                    </w:rPr>
                    <w:t xml:space="preserve"> using a drone mounted with an RGB/Multispectral camera. This will complete a large screening of advanced breeding lines under continuous dicamba exposure through the growing season over three years.</w:t>
                  </w:r>
                </w:p>
                <w:p w14:paraId="6EED5802" w14:textId="77777777" w:rsidR="0075615C" w:rsidRPr="0075615C" w:rsidRDefault="0075615C" w:rsidP="0075615C">
                  <w:pPr>
                    <w:numPr>
                      <w:ilvl w:val="0"/>
                      <w:numId w:val="6"/>
                    </w:numPr>
                    <w:rPr>
                      <w:rFonts w:asciiTheme="minorHAnsi" w:hAnsiTheme="minorHAnsi" w:cstheme="minorHAnsi"/>
                      <w:bCs w:val="0"/>
                      <w:sz w:val="22"/>
                      <w:szCs w:val="22"/>
                    </w:rPr>
                  </w:pPr>
                  <w:r w:rsidRPr="0075615C">
                    <w:rPr>
                      <w:rFonts w:asciiTheme="minorHAnsi" w:hAnsiTheme="minorHAnsi" w:cstheme="minorHAnsi"/>
                      <w:bCs w:val="0"/>
                      <w:sz w:val="22"/>
                      <w:szCs w:val="22"/>
                    </w:rPr>
                    <w:t>Yield x Dicamba damage – Extreme lines</w:t>
                  </w:r>
                </w:p>
                <w:p w14:paraId="225637BE" w14:textId="77777777" w:rsidR="0075615C" w:rsidRPr="0075615C" w:rsidRDefault="0075615C" w:rsidP="0075615C">
                  <w:pPr>
                    <w:rPr>
                      <w:rFonts w:asciiTheme="minorHAnsi" w:hAnsiTheme="minorHAnsi" w:cstheme="minorHAnsi"/>
                      <w:bCs w:val="0"/>
                      <w:sz w:val="22"/>
                      <w:szCs w:val="22"/>
                    </w:rPr>
                  </w:pPr>
                  <w:r w:rsidRPr="0075615C">
                    <w:rPr>
                      <w:rFonts w:asciiTheme="minorHAnsi" w:hAnsiTheme="minorHAnsi" w:cstheme="minorHAnsi"/>
                      <w:bCs w:val="0"/>
                      <w:sz w:val="22"/>
                      <w:szCs w:val="22"/>
                    </w:rPr>
                    <w:t xml:space="preserve">A set of 40 extreme lines with contrasting response to dicamba damage (20 tolerant and 20 susceptible) will be re-tested in a replicated trial for yield and dicamba injury scores in two locations. The purpose of this trial is to confirm the phenotypic differential dicamba responses that are consistent across environments and corelate to yield performance. </w:t>
                  </w:r>
                </w:p>
                <w:p w14:paraId="60A546F8" w14:textId="77777777" w:rsidR="0075615C" w:rsidRPr="0075615C" w:rsidRDefault="0075615C" w:rsidP="0075615C">
                  <w:pPr>
                    <w:numPr>
                      <w:ilvl w:val="0"/>
                      <w:numId w:val="6"/>
                    </w:numPr>
                    <w:rPr>
                      <w:rFonts w:asciiTheme="minorHAnsi" w:hAnsiTheme="minorHAnsi" w:cstheme="minorHAnsi"/>
                      <w:bCs w:val="0"/>
                      <w:sz w:val="22"/>
                      <w:szCs w:val="22"/>
                    </w:rPr>
                  </w:pPr>
                  <w:r w:rsidRPr="0075615C">
                    <w:rPr>
                      <w:rFonts w:asciiTheme="minorHAnsi" w:hAnsiTheme="minorHAnsi" w:cstheme="minorHAnsi"/>
                      <w:bCs w:val="0"/>
                      <w:sz w:val="22"/>
                      <w:szCs w:val="22"/>
                    </w:rPr>
                    <w:t>Mapping populations and genomic studies</w:t>
                  </w:r>
                </w:p>
                <w:p w14:paraId="3FA074DB" w14:textId="77777777" w:rsidR="0075615C" w:rsidRPr="0075615C" w:rsidRDefault="0075615C" w:rsidP="0075615C">
                  <w:pPr>
                    <w:rPr>
                      <w:rFonts w:asciiTheme="minorHAnsi" w:hAnsiTheme="minorHAnsi" w:cstheme="minorHAnsi"/>
                      <w:bCs w:val="0"/>
                      <w:sz w:val="22"/>
                      <w:szCs w:val="22"/>
                    </w:rPr>
                  </w:pPr>
                  <w:r w:rsidRPr="0075615C">
                    <w:rPr>
                      <w:rFonts w:asciiTheme="minorHAnsi" w:hAnsiTheme="minorHAnsi" w:cstheme="minorHAnsi"/>
                      <w:bCs w:val="0"/>
                      <w:sz w:val="22"/>
                      <w:szCs w:val="22"/>
                    </w:rPr>
                    <w:t xml:space="preserve">A total of 400 RILs derived from 3 tolerant x sensitive crosses for mapping purposes and a set of 340 exotic soybean germplasm accessions will be re-tested in 2021 for confirmation of differential response to dicamba damage. These materials will be grown in single row plots in 2 locations each with 2-3 reps and </w:t>
                  </w:r>
                  <w:proofErr w:type="spellStart"/>
                  <w:r w:rsidRPr="0075615C">
                    <w:rPr>
                      <w:rFonts w:asciiTheme="minorHAnsi" w:hAnsiTheme="minorHAnsi" w:cstheme="minorHAnsi"/>
                      <w:bCs w:val="0"/>
                      <w:sz w:val="22"/>
                      <w:szCs w:val="22"/>
                    </w:rPr>
                    <w:t>phenotyped</w:t>
                  </w:r>
                  <w:proofErr w:type="spellEnd"/>
                  <w:r w:rsidRPr="0075615C">
                    <w:rPr>
                      <w:rFonts w:asciiTheme="minorHAnsi" w:hAnsiTheme="minorHAnsi" w:cstheme="minorHAnsi"/>
                      <w:bCs w:val="0"/>
                      <w:sz w:val="22"/>
                      <w:szCs w:val="22"/>
                    </w:rPr>
                    <w:t xml:space="preserve"> based on visual and digital scores. All entries are currently being genotyped with the Soy6K SNP chip. The goal is to identify molecular markers and QTLs/genes associated with natural tolerance to off-target dicamba damage.</w:t>
                  </w:r>
                </w:p>
                <w:p w14:paraId="09EF652E" w14:textId="77777777" w:rsidR="0075615C" w:rsidRPr="0075615C" w:rsidRDefault="0075615C" w:rsidP="0075615C">
                  <w:pPr>
                    <w:rPr>
                      <w:rFonts w:asciiTheme="minorHAnsi" w:hAnsiTheme="minorHAnsi" w:cstheme="minorHAnsi"/>
                      <w:bCs w:val="0"/>
                      <w:sz w:val="22"/>
                      <w:szCs w:val="22"/>
                    </w:rPr>
                  </w:pPr>
                </w:p>
                <w:p w14:paraId="40094B36" w14:textId="77777777" w:rsidR="0075615C" w:rsidRPr="0075615C" w:rsidRDefault="0075615C" w:rsidP="0075615C">
                  <w:pPr>
                    <w:rPr>
                      <w:rFonts w:asciiTheme="minorHAnsi" w:hAnsiTheme="minorHAnsi" w:cstheme="minorHAnsi"/>
                      <w:b/>
                      <w:sz w:val="22"/>
                      <w:szCs w:val="22"/>
                    </w:rPr>
                  </w:pPr>
                  <w:r w:rsidRPr="0075615C">
                    <w:rPr>
                      <w:rFonts w:asciiTheme="minorHAnsi" w:hAnsiTheme="minorHAnsi" w:cstheme="minorHAnsi"/>
                      <w:b/>
                      <w:sz w:val="22"/>
                      <w:szCs w:val="22"/>
                    </w:rPr>
                    <w:t xml:space="preserve">Results from 2020 Confirmation Trial (not included in last report): </w:t>
                  </w:r>
                </w:p>
                <w:p w14:paraId="3F97249E" w14:textId="77777777" w:rsidR="0075615C" w:rsidRPr="0075615C" w:rsidRDefault="0075615C" w:rsidP="0075615C">
                  <w:pPr>
                    <w:rPr>
                      <w:rFonts w:asciiTheme="minorHAnsi" w:hAnsiTheme="minorHAnsi" w:cstheme="minorHAnsi"/>
                      <w:bCs w:val="0"/>
                      <w:sz w:val="22"/>
                      <w:szCs w:val="22"/>
                    </w:rPr>
                  </w:pPr>
                  <w:r w:rsidRPr="0075615C">
                    <w:rPr>
                      <w:rFonts w:asciiTheme="minorHAnsi" w:hAnsiTheme="minorHAnsi" w:cstheme="minorHAnsi"/>
                      <w:bCs w:val="0"/>
                      <w:sz w:val="22"/>
                      <w:szCs w:val="22"/>
                    </w:rPr>
                    <w:t xml:space="preserve">In 2020, we tested two sets of extreme lines (maturity groups 4 and 5) in a replicated test in two locations. These entries were initially </w:t>
                  </w:r>
                  <w:proofErr w:type="spellStart"/>
                  <w:r w:rsidRPr="0075615C">
                    <w:rPr>
                      <w:rFonts w:asciiTheme="minorHAnsi" w:hAnsiTheme="minorHAnsi" w:cstheme="minorHAnsi"/>
                      <w:bCs w:val="0"/>
                      <w:sz w:val="22"/>
                      <w:szCs w:val="22"/>
                    </w:rPr>
                    <w:t>phenotyped</w:t>
                  </w:r>
                  <w:proofErr w:type="spellEnd"/>
                  <w:r w:rsidRPr="0075615C">
                    <w:rPr>
                      <w:rFonts w:asciiTheme="minorHAnsi" w:hAnsiTheme="minorHAnsi" w:cstheme="minorHAnsi"/>
                      <w:bCs w:val="0"/>
                      <w:sz w:val="22"/>
                      <w:szCs w:val="22"/>
                    </w:rPr>
                    <w:t xml:space="preserve"> in 2019 and represented the 20 most tolerant and 20 most susceptible lines. Results confirmed the ratings from 2019, and yields were negatively correlated with the dicamba damage (-0.68). This set of extreme genotypes are currently being tested under different dicamba doses in the greenhouse.</w:t>
                  </w:r>
                </w:p>
                <w:p w14:paraId="24649E9C" w14:textId="77777777" w:rsidR="0075615C" w:rsidRPr="0075615C" w:rsidRDefault="0075615C" w:rsidP="0075615C">
                  <w:pPr>
                    <w:rPr>
                      <w:rFonts w:asciiTheme="minorHAnsi" w:hAnsiTheme="minorHAnsi" w:cstheme="minorHAnsi"/>
                      <w:b/>
                      <w:sz w:val="22"/>
                      <w:szCs w:val="22"/>
                      <w:u w:val="single"/>
                    </w:rPr>
                  </w:pPr>
                </w:p>
                <w:p w14:paraId="43259F03" w14:textId="77777777" w:rsidR="0075615C" w:rsidRPr="0075615C" w:rsidRDefault="0075615C" w:rsidP="0075615C">
                  <w:pPr>
                    <w:rPr>
                      <w:rFonts w:asciiTheme="minorHAnsi" w:hAnsiTheme="minorHAnsi" w:cstheme="minorHAnsi"/>
                      <w:b/>
                      <w:sz w:val="22"/>
                      <w:szCs w:val="22"/>
                      <w:u w:val="single"/>
                    </w:rPr>
                  </w:pPr>
                  <w:r w:rsidRPr="0075615C">
                    <w:rPr>
                      <w:rFonts w:asciiTheme="minorHAnsi" w:hAnsiTheme="minorHAnsi" w:cstheme="minorHAnsi"/>
                      <w:b/>
                      <w:noProof/>
                      <w:sz w:val="22"/>
                      <w:szCs w:val="22"/>
                      <w:u w:val="single"/>
                    </w:rPr>
                    <w:lastRenderedPageBreak/>
                    <w:drawing>
                      <wp:inline distT="0" distB="0" distL="0" distR="0" wp14:anchorId="7461A067" wp14:editId="6053759E">
                        <wp:extent cx="5857875" cy="42576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75615C" w:rsidRPr="0075615C" w14:paraId="5D1E8827" w14:textId="77777777" w:rsidTr="00156B6F">
              <w:trPr>
                <w:trHeight w:val="5050"/>
              </w:trPr>
              <w:tc>
                <w:tcPr>
                  <w:tcW w:w="9880" w:type="dxa"/>
                  <w:gridSpan w:val="2"/>
                  <w:tcMar>
                    <w:top w:w="43" w:type="dxa"/>
                    <w:left w:w="0" w:type="dxa"/>
                    <w:bottom w:w="43" w:type="dxa"/>
                    <w:right w:w="0" w:type="dxa"/>
                  </w:tcMar>
                </w:tcPr>
                <w:p w14:paraId="29C3327C" w14:textId="77777777" w:rsidR="0075615C" w:rsidRDefault="0075615C" w:rsidP="0075615C">
                  <w:pPr>
                    <w:rPr>
                      <w:rFonts w:asciiTheme="minorHAnsi" w:hAnsiTheme="minorHAnsi" w:cstheme="minorHAnsi"/>
                      <w:b/>
                      <w:sz w:val="22"/>
                      <w:szCs w:val="22"/>
                      <w:u w:val="single"/>
                    </w:rPr>
                  </w:pPr>
                </w:p>
                <w:p w14:paraId="5EAB1539" w14:textId="77777777" w:rsidR="0075615C" w:rsidRPr="0075615C" w:rsidRDefault="0075615C" w:rsidP="0075615C">
                  <w:pPr>
                    <w:rPr>
                      <w:rFonts w:asciiTheme="minorHAnsi" w:hAnsiTheme="minorHAnsi" w:cstheme="minorHAnsi"/>
                      <w:b/>
                      <w:sz w:val="22"/>
                      <w:szCs w:val="22"/>
                      <w:u w:val="single"/>
                    </w:rPr>
                  </w:pPr>
                  <w:r w:rsidRPr="0075615C">
                    <w:rPr>
                      <w:rFonts w:asciiTheme="minorHAnsi" w:hAnsiTheme="minorHAnsi" w:cstheme="minorHAnsi"/>
                      <w:b/>
                      <w:sz w:val="22"/>
                      <w:szCs w:val="22"/>
                      <w:u w:val="single"/>
                    </w:rPr>
                    <w:t>Summary and Highlights:</w:t>
                  </w:r>
                </w:p>
                <w:p w14:paraId="645A052B" w14:textId="77777777" w:rsidR="0075615C" w:rsidRPr="0075615C" w:rsidRDefault="0075615C" w:rsidP="0075615C">
                  <w:pPr>
                    <w:rPr>
                      <w:rFonts w:asciiTheme="minorHAnsi" w:hAnsiTheme="minorHAnsi" w:cstheme="minorHAnsi"/>
                      <w:b/>
                      <w:sz w:val="22"/>
                      <w:szCs w:val="22"/>
                      <w:u w:val="single"/>
                    </w:rPr>
                  </w:pPr>
                </w:p>
                <w:p w14:paraId="6C853E2D" w14:textId="77777777" w:rsidR="0075615C" w:rsidRPr="0075615C" w:rsidRDefault="0075615C" w:rsidP="0075615C">
                  <w:pPr>
                    <w:numPr>
                      <w:ilvl w:val="0"/>
                      <w:numId w:val="5"/>
                    </w:numPr>
                    <w:rPr>
                      <w:rFonts w:asciiTheme="minorHAnsi" w:hAnsiTheme="minorHAnsi" w:cstheme="minorHAnsi"/>
                      <w:bCs w:val="0"/>
                      <w:sz w:val="22"/>
                      <w:szCs w:val="22"/>
                    </w:rPr>
                  </w:pPr>
                  <w:r w:rsidRPr="0075615C">
                    <w:rPr>
                      <w:rFonts w:asciiTheme="minorHAnsi" w:hAnsiTheme="minorHAnsi" w:cstheme="minorHAnsi"/>
                      <w:bCs w:val="0"/>
                      <w:sz w:val="22"/>
                      <w:szCs w:val="22"/>
                    </w:rPr>
                    <w:t>Two-year confirmation data from extreme genotypes show a consistent response to dicamba and superior performance of the tolerant group under off-target dicamba exposure throughout the season.</w:t>
                  </w:r>
                </w:p>
                <w:p w14:paraId="4EAF3258" w14:textId="77777777" w:rsidR="0075615C" w:rsidRPr="0075615C" w:rsidRDefault="0075615C" w:rsidP="0075615C">
                  <w:pPr>
                    <w:numPr>
                      <w:ilvl w:val="0"/>
                      <w:numId w:val="5"/>
                    </w:numPr>
                    <w:rPr>
                      <w:rFonts w:asciiTheme="minorHAnsi" w:hAnsiTheme="minorHAnsi" w:cstheme="minorHAnsi"/>
                      <w:bCs w:val="0"/>
                      <w:sz w:val="22"/>
                      <w:szCs w:val="22"/>
                    </w:rPr>
                  </w:pPr>
                  <w:r w:rsidRPr="0075615C">
                    <w:rPr>
                      <w:rFonts w:asciiTheme="minorHAnsi" w:hAnsiTheme="minorHAnsi" w:cstheme="minorHAnsi"/>
                      <w:bCs w:val="0"/>
                      <w:sz w:val="22"/>
                      <w:szCs w:val="22"/>
                    </w:rPr>
                    <w:t>A manuscript showing the impact of off-target damage on yield has been prepared for submission to Crop Science. In summary, one increment in dicamba injury score (1-5) decreases yield potential by approximately 8%, with the effect being more pronounced in earlier maturity group lines.</w:t>
                  </w:r>
                </w:p>
                <w:p w14:paraId="322B2652" w14:textId="2B1CA5D2" w:rsidR="0075615C" w:rsidRPr="0075615C" w:rsidRDefault="0075615C" w:rsidP="0075615C">
                  <w:pPr>
                    <w:numPr>
                      <w:ilvl w:val="0"/>
                      <w:numId w:val="5"/>
                    </w:numPr>
                    <w:rPr>
                      <w:rFonts w:asciiTheme="minorHAnsi" w:hAnsiTheme="minorHAnsi" w:cstheme="minorHAnsi"/>
                      <w:bCs w:val="0"/>
                      <w:sz w:val="22"/>
                      <w:szCs w:val="22"/>
                    </w:rPr>
                  </w:pPr>
                  <w:r w:rsidRPr="0075615C">
                    <w:rPr>
                      <w:rFonts w:asciiTheme="minorHAnsi" w:hAnsiTheme="minorHAnsi" w:cstheme="minorHAnsi"/>
                      <w:bCs w:val="0"/>
                      <w:sz w:val="22"/>
                      <w:szCs w:val="22"/>
                    </w:rPr>
                    <w:t>Presentations were given to the Missouri Soybean Merchandising Council and the 24</w:t>
                  </w:r>
                  <w:r w:rsidRPr="0075615C">
                    <w:rPr>
                      <w:rFonts w:asciiTheme="minorHAnsi" w:hAnsiTheme="minorHAnsi" w:cstheme="minorHAnsi"/>
                      <w:bCs w:val="0"/>
                      <w:sz w:val="22"/>
                      <w:szCs w:val="22"/>
                      <w:vertAlign w:val="superscript"/>
                    </w:rPr>
                    <w:t xml:space="preserve">th </w:t>
                  </w:r>
                  <w:r w:rsidRPr="0075615C">
                    <w:rPr>
                      <w:rFonts w:asciiTheme="minorHAnsi" w:hAnsiTheme="minorHAnsi" w:cstheme="minorHAnsi"/>
                      <w:bCs w:val="0"/>
                      <w:sz w:val="22"/>
                      <w:szCs w:val="22"/>
                    </w:rPr>
                    <w:t>Annual National Conversation Systems Conference, highlighting the findings of this project.</w:t>
                  </w:r>
                </w:p>
                <w:p w14:paraId="2AF03B45" w14:textId="31E7EEDC" w:rsidR="0075615C" w:rsidRPr="0075615C" w:rsidRDefault="0075615C" w:rsidP="0075615C">
                  <w:pPr>
                    <w:rPr>
                      <w:rFonts w:asciiTheme="minorHAnsi" w:hAnsiTheme="minorHAnsi" w:cstheme="minorHAnsi"/>
                      <w:b/>
                      <w:sz w:val="22"/>
                      <w:szCs w:val="22"/>
                      <w:u w:val="single"/>
                    </w:rPr>
                  </w:pPr>
                </w:p>
              </w:tc>
            </w:tr>
            <w:tr w:rsidR="0075615C" w:rsidRPr="0075615C" w14:paraId="57D542B0" w14:textId="77777777" w:rsidTr="00156B6F">
              <w:trPr>
                <w:gridAfter w:val="1"/>
                <w:wAfter w:w="182" w:type="dxa"/>
                <w:trHeight w:val="217"/>
              </w:trPr>
              <w:tc>
                <w:tcPr>
                  <w:tcW w:w="9698" w:type="dxa"/>
                  <w:shd w:val="clear" w:color="auto" w:fill="FFFF99"/>
                  <w:tcMar>
                    <w:top w:w="43" w:type="dxa"/>
                    <w:left w:w="0" w:type="dxa"/>
                    <w:bottom w:w="43" w:type="dxa"/>
                    <w:right w:w="0" w:type="dxa"/>
                  </w:tcMar>
                </w:tcPr>
                <w:p w14:paraId="775A21F2" w14:textId="34F0168F" w:rsidR="0075615C" w:rsidRPr="0075615C" w:rsidRDefault="0075615C" w:rsidP="0075615C">
                  <w:pPr>
                    <w:rPr>
                      <w:rFonts w:asciiTheme="minorHAnsi" w:hAnsiTheme="minorHAnsi" w:cstheme="minorHAnsi"/>
                      <w:b/>
                      <w:sz w:val="22"/>
                      <w:szCs w:val="22"/>
                      <w:u w:val="single"/>
                    </w:rPr>
                  </w:pPr>
                </w:p>
              </w:tc>
            </w:tr>
            <w:tr w:rsidR="0075615C" w:rsidRPr="0075615C" w14:paraId="67D5829A" w14:textId="77777777" w:rsidTr="00156B6F">
              <w:trPr>
                <w:trHeight w:val="2485"/>
              </w:trPr>
              <w:tc>
                <w:tcPr>
                  <w:tcW w:w="9880" w:type="dxa"/>
                  <w:gridSpan w:val="2"/>
                  <w:tcMar>
                    <w:top w:w="43" w:type="dxa"/>
                    <w:left w:w="0" w:type="dxa"/>
                    <w:bottom w:w="43" w:type="dxa"/>
                    <w:right w:w="0" w:type="dxa"/>
                  </w:tcMar>
                </w:tcPr>
                <w:p w14:paraId="481EFCD0" w14:textId="77777777" w:rsidR="0075615C" w:rsidRPr="0075615C" w:rsidRDefault="0075615C" w:rsidP="0075615C">
                  <w:pPr>
                    <w:rPr>
                      <w:rFonts w:asciiTheme="minorHAnsi" w:hAnsiTheme="minorHAnsi" w:cstheme="minorHAnsi"/>
                      <w:b/>
                      <w:sz w:val="22"/>
                      <w:szCs w:val="22"/>
                      <w:u w:val="single"/>
                    </w:rPr>
                  </w:pPr>
                </w:p>
              </w:tc>
            </w:tr>
          </w:tbl>
          <w:p w14:paraId="59F6C21A" w14:textId="7B4C89D8" w:rsidR="00B85146" w:rsidRPr="00FF17A7" w:rsidRDefault="00B85146" w:rsidP="002721C8">
            <w:pPr>
              <w:rPr>
                <w:rFonts w:asciiTheme="minorHAnsi" w:hAnsiTheme="minorHAnsi" w:cstheme="minorHAnsi"/>
                <w:sz w:val="22"/>
                <w:szCs w:val="22"/>
              </w:rPr>
            </w:pPr>
          </w:p>
        </w:tc>
      </w:tr>
      <w:tr w:rsidR="0099263D" w:rsidRPr="006F3583" w14:paraId="2B02CCE6" w14:textId="77777777" w:rsidTr="00902812">
        <w:trPr>
          <w:trHeight w:val="8785"/>
        </w:trPr>
        <w:tc>
          <w:tcPr>
            <w:tcW w:w="8810" w:type="dxa"/>
            <w:gridSpan w:val="2"/>
            <w:tcMar>
              <w:top w:w="43" w:type="dxa"/>
              <w:left w:w="0" w:type="dxa"/>
              <w:bottom w:w="43" w:type="dxa"/>
              <w:right w:w="0" w:type="dxa"/>
            </w:tcMar>
          </w:tcPr>
          <w:p w14:paraId="5CFE835F" w14:textId="136B3303" w:rsidR="003D68E2" w:rsidRPr="003D68E2" w:rsidRDefault="003D68E2" w:rsidP="00B85146">
            <w:pPr>
              <w:tabs>
                <w:tab w:val="left" w:pos="1470"/>
              </w:tabs>
              <w:rPr>
                <w:rFonts w:asciiTheme="minorHAnsi" w:hAnsiTheme="minorHAnsi" w:cstheme="minorHAnsi"/>
                <w:b/>
                <w:bCs w:val="0"/>
                <w:sz w:val="22"/>
                <w:szCs w:val="22"/>
                <w:u w:val="single"/>
              </w:rPr>
            </w:pPr>
          </w:p>
        </w:tc>
      </w:tr>
    </w:tbl>
    <w:p w14:paraId="257B50EC" w14:textId="77777777" w:rsidR="0025429E" w:rsidRDefault="0025429E" w:rsidP="005978F4"/>
    <w:sectPr w:rsidR="0025429E" w:rsidSect="00E814B8">
      <w:headerReference w:type="first" r:id="rId11"/>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75B9C" w14:textId="77777777" w:rsidR="00943ADE" w:rsidRDefault="00943ADE" w:rsidP="00BD1E89">
      <w:pPr>
        <w:spacing w:line="240" w:lineRule="auto"/>
      </w:pPr>
      <w:r>
        <w:separator/>
      </w:r>
    </w:p>
  </w:endnote>
  <w:endnote w:type="continuationSeparator" w:id="0">
    <w:p w14:paraId="00765264" w14:textId="77777777" w:rsidR="00943ADE" w:rsidRDefault="00943ADE"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D13BF" w14:textId="77777777" w:rsidR="00943ADE" w:rsidRDefault="00943ADE" w:rsidP="00BD1E89">
      <w:pPr>
        <w:spacing w:line="240" w:lineRule="auto"/>
      </w:pPr>
      <w:r>
        <w:separator/>
      </w:r>
    </w:p>
  </w:footnote>
  <w:footnote w:type="continuationSeparator" w:id="0">
    <w:p w14:paraId="64E680B0" w14:textId="77777777" w:rsidR="00943ADE" w:rsidRDefault="00943ADE"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abstractNumId w:val="1"/>
  </w:num>
  <w:num w:numId="2">
    <w:abstractNumId w:val="4"/>
  </w:num>
  <w:num w:numId="3">
    <w:abstractNumId w:val="1"/>
  </w:num>
  <w:num w:numId="4">
    <w:abstractNumId w:val="0"/>
  </w:num>
  <w:num w:numId="5">
    <w:abstractNumId w:val="3"/>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F7EBFE7-45F3-4C71-84E2-555E59E8FD8F}"/>
    <w:docVar w:name="dgnword-eventsink" w:val="75130192"/>
  </w:docVars>
  <w:rsids>
    <w:rsidRoot w:val="00A65BD5"/>
    <w:rsid w:val="00011651"/>
    <w:rsid w:val="00014790"/>
    <w:rsid w:val="00014ACD"/>
    <w:rsid w:val="0001709F"/>
    <w:rsid w:val="00032BD4"/>
    <w:rsid w:val="0003601D"/>
    <w:rsid w:val="0004056A"/>
    <w:rsid w:val="00054EF7"/>
    <w:rsid w:val="000613DF"/>
    <w:rsid w:val="000623A5"/>
    <w:rsid w:val="000666E5"/>
    <w:rsid w:val="0007079A"/>
    <w:rsid w:val="000750B4"/>
    <w:rsid w:val="00082E6C"/>
    <w:rsid w:val="00082F81"/>
    <w:rsid w:val="00083E61"/>
    <w:rsid w:val="00087C7F"/>
    <w:rsid w:val="000942F4"/>
    <w:rsid w:val="000A2141"/>
    <w:rsid w:val="000A378E"/>
    <w:rsid w:val="000A4D16"/>
    <w:rsid w:val="000A7F24"/>
    <w:rsid w:val="000B06CD"/>
    <w:rsid w:val="000B3A82"/>
    <w:rsid w:val="000B7D6D"/>
    <w:rsid w:val="000C41F6"/>
    <w:rsid w:val="000D3808"/>
    <w:rsid w:val="000D503A"/>
    <w:rsid w:val="000D70EE"/>
    <w:rsid w:val="000D720A"/>
    <w:rsid w:val="000D726D"/>
    <w:rsid w:val="000D782C"/>
    <w:rsid w:val="000E6330"/>
    <w:rsid w:val="000F0AB1"/>
    <w:rsid w:val="001053BF"/>
    <w:rsid w:val="0010665A"/>
    <w:rsid w:val="00107714"/>
    <w:rsid w:val="00110DE9"/>
    <w:rsid w:val="00115BC3"/>
    <w:rsid w:val="00123E01"/>
    <w:rsid w:val="001339DD"/>
    <w:rsid w:val="00145EFF"/>
    <w:rsid w:val="00152DA2"/>
    <w:rsid w:val="00153F61"/>
    <w:rsid w:val="0016007C"/>
    <w:rsid w:val="001604BA"/>
    <w:rsid w:val="00162654"/>
    <w:rsid w:val="001670B5"/>
    <w:rsid w:val="00183109"/>
    <w:rsid w:val="00183FD2"/>
    <w:rsid w:val="00184DBB"/>
    <w:rsid w:val="00190A53"/>
    <w:rsid w:val="001943BF"/>
    <w:rsid w:val="00195969"/>
    <w:rsid w:val="001A6320"/>
    <w:rsid w:val="001B15B3"/>
    <w:rsid w:val="001B446F"/>
    <w:rsid w:val="001B5C81"/>
    <w:rsid w:val="001C34A3"/>
    <w:rsid w:val="001C4C57"/>
    <w:rsid w:val="001D4DA1"/>
    <w:rsid w:val="001E2F8F"/>
    <w:rsid w:val="00203599"/>
    <w:rsid w:val="002044CF"/>
    <w:rsid w:val="002148E3"/>
    <w:rsid w:val="00227538"/>
    <w:rsid w:val="00234746"/>
    <w:rsid w:val="002378AF"/>
    <w:rsid w:val="00245B98"/>
    <w:rsid w:val="00246B18"/>
    <w:rsid w:val="002479BE"/>
    <w:rsid w:val="00250732"/>
    <w:rsid w:val="0025429E"/>
    <w:rsid w:val="0026444C"/>
    <w:rsid w:val="00264D7C"/>
    <w:rsid w:val="002721C8"/>
    <w:rsid w:val="00272FA2"/>
    <w:rsid w:val="0028114C"/>
    <w:rsid w:val="00291A31"/>
    <w:rsid w:val="00295A98"/>
    <w:rsid w:val="00297877"/>
    <w:rsid w:val="00297BED"/>
    <w:rsid w:val="002A115E"/>
    <w:rsid w:val="002B0101"/>
    <w:rsid w:val="002B5D14"/>
    <w:rsid w:val="002C30C2"/>
    <w:rsid w:val="002C6626"/>
    <w:rsid w:val="002C66CF"/>
    <w:rsid w:val="002D0F17"/>
    <w:rsid w:val="002D1EA6"/>
    <w:rsid w:val="002D5074"/>
    <w:rsid w:val="002D6BAE"/>
    <w:rsid w:val="002E47FD"/>
    <w:rsid w:val="002F23A8"/>
    <w:rsid w:val="002F3106"/>
    <w:rsid w:val="002F46BF"/>
    <w:rsid w:val="0030271A"/>
    <w:rsid w:val="00302EDA"/>
    <w:rsid w:val="003053A0"/>
    <w:rsid w:val="003105FC"/>
    <w:rsid w:val="00320C8D"/>
    <w:rsid w:val="0032545C"/>
    <w:rsid w:val="003312EE"/>
    <w:rsid w:val="0033241C"/>
    <w:rsid w:val="003335C9"/>
    <w:rsid w:val="00333B09"/>
    <w:rsid w:val="00335A26"/>
    <w:rsid w:val="00335FC1"/>
    <w:rsid w:val="0035304F"/>
    <w:rsid w:val="003553E5"/>
    <w:rsid w:val="003621D3"/>
    <w:rsid w:val="003622EB"/>
    <w:rsid w:val="00362A90"/>
    <w:rsid w:val="0036455B"/>
    <w:rsid w:val="00373BBC"/>
    <w:rsid w:val="00373EF3"/>
    <w:rsid w:val="003754E2"/>
    <w:rsid w:val="00383AB7"/>
    <w:rsid w:val="00383F0E"/>
    <w:rsid w:val="00390570"/>
    <w:rsid w:val="00392592"/>
    <w:rsid w:val="00396079"/>
    <w:rsid w:val="003A119F"/>
    <w:rsid w:val="003A13B3"/>
    <w:rsid w:val="003A4095"/>
    <w:rsid w:val="003A6CCC"/>
    <w:rsid w:val="003B2A34"/>
    <w:rsid w:val="003B5F5A"/>
    <w:rsid w:val="003B7A55"/>
    <w:rsid w:val="003C3474"/>
    <w:rsid w:val="003D3E21"/>
    <w:rsid w:val="003D6401"/>
    <w:rsid w:val="003D68E2"/>
    <w:rsid w:val="003E4C36"/>
    <w:rsid w:val="003E520A"/>
    <w:rsid w:val="003E7655"/>
    <w:rsid w:val="003F355B"/>
    <w:rsid w:val="003F59F7"/>
    <w:rsid w:val="00402D0B"/>
    <w:rsid w:val="00406CFF"/>
    <w:rsid w:val="004073DA"/>
    <w:rsid w:val="004076FD"/>
    <w:rsid w:val="00410A0D"/>
    <w:rsid w:val="004111A8"/>
    <w:rsid w:val="00412F75"/>
    <w:rsid w:val="004162BA"/>
    <w:rsid w:val="004165DB"/>
    <w:rsid w:val="0041728E"/>
    <w:rsid w:val="00424292"/>
    <w:rsid w:val="00425FE4"/>
    <w:rsid w:val="00426F83"/>
    <w:rsid w:val="004366F0"/>
    <w:rsid w:val="0043706C"/>
    <w:rsid w:val="00437218"/>
    <w:rsid w:val="00437F2F"/>
    <w:rsid w:val="00444BC2"/>
    <w:rsid w:val="00451F10"/>
    <w:rsid w:val="00452DF1"/>
    <w:rsid w:val="00453A6A"/>
    <w:rsid w:val="00455551"/>
    <w:rsid w:val="00457F8D"/>
    <w:rsid w:val="00462538"/>
    <w:rsid w:val="0046309C"/>
    <w:rsid w:val="00470EEC"/>
    <w:rsid w:val="00472A90"/>
    <w:rsid w:val="00476A41"/>
    <w:rsid w:val="00485186"/>
    <w:rsid w:val="004979FA"/>
    <w:rsid w:val="004A7A14"/>
    <w:rsid w:val="004A7B46"/>
    <w:rsid w:val="004C0762"/>
    <w:rsid w:val="004C09F2"/>
    <w:rsid w:val="004C6840"/>
    <w:rsid w:val="004D02DC"/>
    <w:rsid w:val="004D0D1D"/>
    <w:rsid w:val="004D7962"/>
    <w:rsid w:val="004E1786"/>
    <w:rsid w:val="004E4560"/>
    <w:rsid w:val="004E4F44"/>
    <w:rsid w:val="004E66DD"/>
    <w:rsid w:val="004F4550"/>
    <w:rsid w:val="004F4728"/>
    <w:rsid w:val="005020D3"/>
    <w:rsid w:val="005070E8"/>
    <w:rsid w:val="00507BF3"/>
    <w:rsid w:val="0051646C"/>
    <w:rsid w:val="00517096"/>
    <w:rsid w:val="00521C25"/>
    <w:rsid w:val="0054156B"/>
    <w:rsid w:val="00546D2C"/>
    <w:rsid w:val="00554672"/>
    <w:rsid w:val="00563E31"/>
    <w:rsid w:val="00571086"/>
    <w:rsid w:val="00577AE5"/>
    <w:rsid w:val="00582B63"/>
    <w:rsid w:val="005844D0"/>
    <w:rsid w:val="00592BC1"/>
    <w:rsid w:val="005963B0"/>
    <w:rsid w:val="00596B63"/>
    <w:rsid w:val="005978F4"/>
    <w:rsid w:val="005A23DC"/>
    <w:rsid w:val="005A61C0"/>
    <w:rsid w:val="005A763D"/>
    <w:rsid w:val="005B1BDF"/>
    <w:rsid w:val="005B5609"/>
    <w:rsid w:val="005B5964"/>
    <w:rsid w:val="005C2CBB"/>
    <w:rsid w:val="005D17F2"/>
    <w:rsid w:val="005D25AF"/>
    <w:rsid w:val="005D3DEF"/>
    <w:rsid w:val="005D55A0"/>
    <w:rsid w:val="005D7144"/>
    <w:rsid w:val="005E4B09"/>
    <w:rsid w:val="005E73A6"/>
    <w:rsid w:val="005E7DB4"/>
    <w:rsid w:val="005F492E"/>
    <w:rsid w:val="005F4F28"/>
    <w:rsid w:val="006009E0"/>
    <w:rsid w:val="0060410C"/>
    <w:rsid w:val="00605758"/>
    <w:rsid w:val="00605BA8"/>
    <w:rsid w:val="006115BC"/>
    <w:rsid w:val="00632864"/>
    <w:rsid w:val="00632F45"/>
    <w:rsid w:val="00633BF5"/>
    <w:rsid w:val="00643728"/>
    <w:rsid w:val="006507FB"/>
    <w:rsid w:val="006572F3"/>
    <w:rsid w:val="00665BEE"/>
    <w:rsid w:val="006709BB"/>
    <w:rsid w:val="0068335F"/>
    <w:rsid w:val="00684BCF"/>
    <w:rsid w:val="00690EDA"/>
    <w:rsid w:val="00693D9D"/>
    <w:rsid w:val="0069666C"/>
    <w:rsid w:val="00696A20"/>
    <w:rsid w:val="006A1751"/>
    <w:rsid w:val="006A503A"/>
    <w:rsid w:val="006A6A77"/>
    <w:rsid w:val="006A6CCC"/>
    <w:rsid w:val="006B42DB"/>
    <w:rsid w:val="006B43ED"/>
    <w:rsid w:val="006C399E"/>
    <w:rsid w:val="006C3B83"/>
    <w:rsid w:val="006D09E6"/>
    <w:rsid w:val="006D3433"/>
    <w:rsid w:val="006D3999"/>
    <w:rsid w:val="006E0A14"/>
    <w:rsid w:val="006E24E6"/>
    <w:rsid w:val="006E412F"/>
    <w:rsid w:val="006F1738"/>
    <w:rsid w:val="006F3583"/>
    <w:rsid w:val="006F6240"/>
    <w:rsid w:val="006F62F8"/>
    <w:rsid w:val="00704574"/>
    <w:rsid w:val="007062A3"/>
    <w:rsid w:val="00713B34"/>
    <w:rsid w:val="00714C7D"/>
    <w:rsid w:val="00716763"/>
    <w:rsid w:val="00717254"/>
    <w:rsid w:val="007249F5"/>
    <w:rsid w:val="007259A0"/>
    <w:rsid w:val="00733D8F"/>
    <w:rsid w:val="00736421"/>
    <w:rsid w:val="00736D34"/>
    <w:rsid w:val="00744EF4"/>
    <w:rsid w:val="00745FC3"/>
    <w:rsid w:val="00746B98"/>
    <w:rsid w:val="0075082F"/>
    <w:rsid w:val="00754DC7"/>
    <w:rsid w:val="0075615C"/>
    <w:rsid w:val="00773484"/>
    <w:rsid w:val="007774B5"/>
    <w:rsid w:val="00777C6E"/>
    <w:rsid w:val="007823B2"/>
    <w:rsid w:val="007860C0"/>
    <w:rsid w:val="00794235"/>
    <w:rsid w:val="00797AC4"/>
    <w:rsid w:val="007A72A3"/>
    <w:rsid w:val="007B0BBB"/>
    <w:rsid w:val="007B1796"/>
    <w:rsid w:val="007B55C0"/>
    <w:rsid w:val="007B7BC8"/>
    <w:rsid w:val="007C03E3"/>
    <w:rsid w:val="007C25F2"/>
    <w:rsid w:val="007C2AB4"/>
    <w:rsid w:val="007C2C8A"/>
    <w:rsid w:val="007D0E1B"/>
    <w:rsid w:val="007D6C9E"/>
    <w:rsid w:val="007F4093"/>
    <w:rsid w:val="00806DDF"/>
    <w:rsid w:val="008101B7"/>
    <w:rsid w:val="00810449"/>
    <w:rsid w:val="00810A01"/>
    <w:rsid w:val="0081498F"/>
    <w:rsid w:val="00824CD4"/>
    <w:rsid w:val="008255F7"/>
    <w:rsid w:val="00826D4F"/>
    <w:rsid w:val="00844C4D"/>
    <w:rsid w:val="00845912"/>
    <w:rsid w:val="00850B8F"/>
    <w:rsid w:val="00851FD6"/>
    <w:rsid w:val="008562C0"/>
    <w:rsid w:val="008625F2"/>
    <w:rsid w:val="0086272F"/>
    <w:rsid w:val="008628F4"/>
    <w:rsid w:val="00864BAF"/>
    <w:rsid w:val="00872469"/>
    <w:rsid w:val="008731F6"/>
    <w:rsid w:val="00880659"/>
    <w:rsid w:val="00883AED"/>
    <w:rsid w:val="00885464"/>
    <w:rsid w:val="008858F4"/>
    <w:rsid w:val="0088793A"/>
    <w:rsid w:val="00887F97"/>
    <w:rsid w:val="0089569D"/>
    <w:rsid w:val="00897B7D"/>
    <w:rsid w:val="008A2811"/>
    <w:rsid w:val="008B1D7D"/>
    <w:rsid w:val="008B4A0E"/>
    <w:rsid w:val="008C6D67"/>
    <w:rsid w:val="008D421E"/>
    <w:rsid w:val="008E19D8"/>
    <w:rsid w:val="008E61E8"/>
    <w:rsid w:val="008F1BE4"/>
    <w:rsid w:val="008F1BFC"/>
    <w:rsid w:val="008F5FC8"/>
    <w:rsid w:val="008F6FE9"/>
    <w:rsid w:val="008F74BC"/>
    <w:rsid w:val="00902812"/>
    <w:rsid w:val="00917422"/>
    <w:rsid w:val="00917736"/>
    <w:rsid w:val="009211F7"/>
    <w:rsid w:val="0092297B"/>
    <w:rsid w:val="0092416B"/>
    <w:rsid w:val="009245D5"/>
    <w:rsid w:val="009260E3"/>
    <w:rsid w:val="009316C6"/>
    <w:rsid w:val="00936F9D"/>
    <w:rsid w:val="00943ADE"/>
    <w:rsid w:val="009520AE"/>
    <w:rsid w:val="0095671E"/>
    <w:rsid w:val="0096092A"/>
    <w:rsid w:val="00961D41"/>
    <w:rsid w:val="0096422E"/>
    <w:rsid w:val="00964D40"/>
    <w:rsid w:val="00966780"/>
    <w:rsid w:val="0097290B"/>
    <w:rsid w:val="00974467"/>
    <w:rsid w:val="00981460"/>
    <w:rsid w:val="009820ED"/>
    <w:rsid w:val="009918CA"/>
    <w:rsid w:val="0099263D"/>
    <w:rsid w:val="00994AEE"/>
    <w:rsid w:val="009B0A1B"/>
    <w:rsid w:val="009B5A1C"/>
    <w:rsid w:val="009C246A"/>
    <w:rsid w:val="009C5215"/>
    <w:rsid w:val="009C5A99"/>
    <w:rsid w:val="009D5AFE"/>
    <w:rsid w:val="009D6F8B"/>
    <w:rsid w:val="009D739E"/>
    <w:rsid w:val="009E19AE"/>
    <w:rsid w:val="009F43DC"/>
    <w:rsid w:val="009F4968"/>
    <w:rsid w:val="009F6283"/>
    <w:rsid w:val="00A1369D"/>
    <w:rsid w:val="00A13921"/>
    <w:rsid w:val="00A1615F"/>
    <w:rsid w:val="00A20BF0"/>
    <w:rsid w:val="00A23940"/>
    <w:rsid w:val="00A31942"/>
    <w:rsid w:val="00A31B9E"/>
    <w:rsid w:val="00A32817"/>
    <w:rsid w:val="00A37E7D"/>
    <w:rsid w:val="00A433FA"/>
    <w:rsid w:val="00A44140"/>
    <w:rsid w:val="00A50FE6"/>
    <w:rsid w:val="00A51BBB"/>
    <w:rsid w:val="00A65BD5"/>
    <w:rsid w:val="00A666DB"/>
    <w:rsid w:val="00A71013"/>
    <w:rsid w:val="00A80080"/>
    <w:rsid w:val="00A9137B"/>
    <w:rsid w:val="00A929F3"/>
    <w:rsid w:val="00A9436F"/>
    <w:rsid w:val="00A96CFB"/>
    <w:rsid w:val="00AA0247"/>
    <w:rsid w:val="00AA4FF5"/>
    <w:rsid w:val="00AA6752"/>
    <w:rsid w:val="00AB033A"/>
    <w:rsid w:val="00AB1317"/>
    <w:rsid w:val="00AB4B27"/>
    <w:rsid w:val="00AB63EC"/>
    <w:rsid w:val="00AD2C0E"/>
    <w:rsid w:val="00AE1B4A"/>
    <w:rsid w:val="00AE34BF"/>
    <w:rsid w:val="00AE3CBA"/>
    <w:rsid w:val="00AF41A5"/>
    <w:rsid w:val="00AF520D"/>
    <w:rsid w:val="00B0112F"/>
    <w:rsid w:val="00B162EB"/>
    <w:rsid w:val="00B20FB0"/>
    <w:rsid w:val="00B31D47"/>
    <w:rsid w:val="00B33DA7"/>
    <w:rsid w:val="00B3786C"/>
    <w:rsid w:val="00B37893"/>
    <w:rsid w:val="00B4449E"/>
    <w:rsid w:val="00B54C8A"/>
    <w:rsid w:val="00B603B4"/>
    <w:rsid w:val="00B67297"/>
    <w:rsid w:val="00B7052F"/>
    <w:rsid w:val="00B71665"/>
    <w:rsid w:val="00B7562B"/>
    <w:rsid w:val="00B7577C"/>
    <w:rsid w:val="00B837D4"/>
    <w:rsid w:val="00B83AA2"/>
    <w:rsid w:val="00B841BB"/>
    <w:rsid w:val="00B84923"/>
    <w:rsid w:val="00B85146"/>
    <w:rsid w:val="00B90FD9"/>
    <w:rsid w:val="00B9392A"/>
    <w:rsid w:val="00BA502A"/>
    <w:rsid w:val="00BB24B2"/>
    <w:rsid w:val="00BB25AA"/>
    <w:rsid w:val="00BB7A07"/>
    <w:rsid w:val="00BC3D5F"/>
    <w:rsid w:val="00BD1E89"/>
    <w:rsid w:val="00BE0222"/>
    <w:rsid w:val="00BE2D05"/>
    <w:rsid w:val="00BE6B47"/>
    <w:rsid w:val="00BE7127"/>
    <w:rsid w:val="00BF333A"/>
    <w:rsid w:val="00BF6DDB"/>
    <w:rsid w:val="00C02347"/>
    <w:rsid w:val="00C0541D"/>
    <w:rsid w:val="00C0799D"/>
    <w:rsid w:val="00C14926"/>
    <w:rsid w:val="00C223FB"/>
    <w:rsid w:val="00C226CE"/>
    <w:rsid w:val="00C52FCC"/>
    <w:rsid w:val="00C549BA"/>
    <w:rsid w:val="00C55C38"/>
    <w:rsid w:val="00C55C81"/>
    <w:rsid w:val="00C601A6"/>
    <w:rsid w:val="00C602B2"/>
    <w:rsid w:val="00C65C38"/>
    <w:rsid w:val="00C704F5"/>
    <w:rsid w:val="00C71FDE"/>
    <w:rsid w:val="00C73AE8"/>
    <w:rsid w:val="00C817F3"/>
    <w:rsid w:val="00C81917"/>
    <w:rsid w:val="00C829FB"/>
    <w:rsid w:val="00C82D57"/>
    <w:rsid w:val="00C86D79"/>
    <w:rsid w:val="00C9612A"/>
    <w:rsid w:val="00CA1523"/>
    <w:rsid w:val="00CA4CDD"/>
    <w:rsid w:val="00CA6F86"/>
    <w:rsid w:val="00CB1585"/>
    <w:rsid w:val="00CB1FFC"/>
    <w:rsid w:val="00CC0B25"/>
    <w:rsid w:val="00CC187C"/>
    <w:rsid w:val="00CD0C25"/>
    <w:rsid w:val="00CD0D59"/>
    <w:rsid w:val="00CE1297"/>
    <w:rsid w:val="00CE4772"/>
    <w:rsid w:val="00CE6AFC"/>
    <w:rsid w:val="00CF1E6A"/>
    <w:rsid w:val="00CF28BF"/>
    <w:rsid w:val="00CF4F27"/>
    <w:rsid w:val="00D00099"/>
    <w:rsid w:val="00D0409A"/>
    <w:rsid w:val="00D04BE9"/>
    <w:rsid w:val="00D04C40"/>
    <w:rsid w:val="00D135B4"/>
    <w:rsid w:val="00D15EA8"/>
    <w:rsid w:val="00D33CE9"/>
    <w:rsid w:val="00D3535D"/>
    <w:rsid w:val="00D3649F"/>
    <w:rsid w:val="00D415FF"/>
    <w:rsid w:val="00D4290A"/>
    <w:rsid w:val="00D42DA7"/>
    <w:rsid w:val="00D43767"/>
    <w:rsid w:val="00D4377D"/>
    <w:rsid w:val="00D44A86"/>
    <w:rsid w:val="00D50CA1"/>
    <w:rsid w:val="00D53F4A"/>
    <w:rsid w:val="00D54759"/>
    <w:rsid w:val="00D60AF8"/>
    <w:rsid w:val="00D6138F"/>
    <w:rsid w:val="00D66CF4"/>
    <w:rsid w:val="00D704E3"/>
    <w:rsid w:val="00D714BC"/>
    <w:rsid w:val="00D7394C"/>
    <w:rsid w:val="00D7730F"/>
    <w:rsid w:val="00D83274"/>
    <w:rsid w:val="00D84185"/>
    <w:rsid w:val="00D84980"/>
    <w:rsid w:val="00D859C5"/>
    <w:rsid w:val="00D9267B"/>
    <w:rsid w:val="00D94667"/>
    <w:rsid w:val="00D95201"/>
    <w:rsid w:val="00DA1E9F"/>
    <w:rsid w:val="00DA45E4"/>
    <w:rsid w:val="00DA5BD0"/>
    <w:rsid w:val="00DA5F9E"/>
    <w:rsid w:val="00DA6ECF"/>
    <w:rsid w:val="00DA700E"/>
    <w:rsid w:val="00DA711D"/>
    <w:rsid w:val="00DB0C5F"/>
    <w:rsid w:val="00DB5859"/>
    <w:rsid w:val="00DC4D19"/>
    <w:rsid w:val="00DC7BC5"/>
    <w:rsid w:val="00DD2F80"/>
    <w:rsid w:val="00E01D04"/>
    <w:rsid w:val="00E0472F"/>
    <w:rsid w:val="00E109F2"/>
    <w:rsid w:val="00E11369"/>
    <w:rsid w:val="00E12F57"/>
    <w:rsid w:val="00E2190C"/>
    <w:rsid w:val="00E32708"/>
    <w:rsid w:val="00E328F2"/>
    <w:rsid w:val="00E423F4"/>
    <w:rsid w:val="00E438DD"/>
    <w:rsid w:val="00E508B6"/>
    <w:rsid w:val="00E565BC"/>
    <w:rsid w:val="00E5787F"/>
    <w:rsid w:val="00E722DC"/>
    <w:rsid w:val="00E73FDF"/>
    <w:rsid w:val="00E7793C"/>
    <w:rsid w:val="00E806A9"/>
    <w:rsid w:val="00E814B8"/>
    <w:rsid w:val="00E83449"/>
    <w:rsid w:val="00E90475"/>
    <w:rsid w:val="00EA0768"/>
    <w:rsid w:val="00EA25AD"/>
    <w:rsid w:val="00EC043D"/>
    <w:rsid w:val="00EC1102"/>
    <w:rsid w:val="00EC1BEF"/>
    <w:rsid w:val="00ED05E7"/>
    <w:rsid w:val="00ED3875"/>
    <w:rsid w:val="00ED3898"/>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6142"/>
    <w:rsid w:val="00F76FD3"/>
    <w:rsid w:val="00F96FC7"/>
    <w:rsid w:val="00F97ED4"/>
    <w:rsid w:val="00FA1622"/>
    <w:rsid w:val="00FA3A24"/>
    <w:rsid w:val="00FA603D"/>
    <w:rsid w:val="00FA6590"/>
    <w:rsid w:val="00FA7047"/>
    <w:rsid w:val="00FB0EE9"/>
    <w:rsid w:val="00FB761F"/>
    <w:rsid w:val="00FC0007"/>
    <w:rsid w:val="00FC225F"/>
    <w:rsid w:val="00FC79A8"/>
    <w:rsid w:val="00FD2FD6"/>
    <w:rsid w:val="00FD4C23"/>
    <w:rsid w:val="00FE006E"/>
    <w:rsid w:val="00FE4BB1"/>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Extreme genotypes</a:t>
            </a:r>
            <a:r>
              <a:rPr lang="en-US" sz="1600" b="1" baseline="0"/>
              <a:t> </a:t>
            </a:r>
            <a:r>
              <a:rPr lang="en-US" sz="1600" baseline="0"/>
              <a:t>- </a:t>
            </a:r>
            <a:r>
              <a:rPr lang="en-US" sz="1600" i="1" baseline="0"/>
              <a:t>2020 Yield x Dicamba damage</a:t>
            </a:r>
            <a:endParaRPr lang="en-US" sz="1600"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Sheet1!$D$1</c:f>
              <c:strCache>
                <c:ptCount val="1"/>
                <c:pt idx="0">
                  <c:v>Score</c:v>
                </c:pt>
              </c:strCache>
            </c:strRef>
          </c:tx>
          <c:spPr>
            <a:ln w="19050" cap="rnd">
              <a:noFill/>
              <a:round/>
            </a:ln>
            <a:effectLst/>
          </c:spPr>
          <c:marker>
            <c:symbol val="circle"/>
            <c:size val="13"/>
            <c:spPr>
              <a:solidFill>
                <a:srgbClr val="485925">
                  <a:alpha val="49804"/>
                </a:srgbClr>
              </a:solidFill>
              <a:ln w="9525">
                <a:noFill/>
              </a:ln>
              <a:effectLst/>
            </c:spPr>
          </c:marker>
          <c:trendline>
            <c:spPr>
              <a:ln w="38100" cap="rnd">
                <a:solidFill>
                  <a:schemeClr val="tx1">
                    <a:lumMod val="75000"/>
                    <a:lumOff val="25000"/>
                    <a:alpha val="80000"/>
                  </a:schemeClr>
                </a:solidFill>
                <a:prstDash val="sysDash"/>
              </a:ln>
              <a:effectLst/>
            </c:spPr>
            <c:trendlineType val="linear"/>
            <c:dispRSqr val="0"/>
            <c:dispEq val="0"/>
          </c:trendline>
          <c:xVal>
            <c:numRef>
              <c:f>Sheet1!$C$2:$C$283</c:f>
              <c:numCache>
                <c:formatCode>0.0</c:formatCode>
                <c:ptCount val="282"/>
                <c:pt idx="0">
                  <c:v>61.8</c:v>
                </c:pt>
                <c:pt idx="1">
                  <c:v>76.3</c:v>
                </c:pt>
                <c:pt idx="2">
                  <c:v>81.900000000000006</c:v>
                </c:pt>
                <c:pt idx="3">
                  <c:v>60.25</c:v>
                </c:pt>
                <c:pt idx="4">
                  <c:v>77.099999999999994</c:v>
                </c:pt>
                <c:pt idx="5">
                  <c:v>62.8</c:v>
                </c:pt>
                <c:pt idx="6">
                  <c:v>75.900000000000006</c:v>
                </c:pt>
                <c:pt idx="7">
                  <c:v>66.599999999999994</c:v>
                </c:pt>
                <c:pt idx="8">
                  <c:v>64.400000000000006</c:v>
                </c:pt>
                <c:pt idx="9">
                  <c:v>64.900000000000006</c:v>
                </c:pt>
                <c:pt idx="10">
                  <c:v>59.5</c:v>
                </c:pt>
                <c:pt idx="11">
                  <c:v>59.6</c:v>
                </c:pt>
                <c:pt idx="12">
                  <c:v>57</c:v>
                </c:pt>
                <c:pt idx="13">
                  <c:v>51.9</c:v>
                </c:pt>
                <c:pt idx="14">
                  <c:v>70.3</c:v>
                </c:pt>
                <c:pt idx="15">
                  <c:v>54.5</c:v>
                </c:pt>
                <c:pt idx="16">
                  <c:v>59.9</c:v>
                </c:pt>
                <c:pt idx="17">
                  <c:v>58.4</c:v>
                </c:pt>
                <c:pt idx="18">
                  <c:v>63</c:v>
                </c:pt>
                <c:pt idx="19">
                  <c:v>60</c:v>
                </c:pt>
                <c:pt idx="20">
                  <c:v>60.3</c:v>
                </c:pt>
                <c:pt idx="21">
                  <c:v>58.9</c:v>
                </c:pt>
                <c:pt idx="22">
                  <c:v>42.2</c:v>
                </c:pt>
                <c:pt idx="23">
                  <c:v>67.400000000000006</c:v>
                </c:pt>
                <c:pt idx="24">
                  <c:v>53.4</c:v>
                </c:pt>
                <c:pt idx="25">
                  <c:v>62.2</c:v>
                </c:pt>
                <c:pt idx="26">
                  <c:v>68.099999999999994</c:v>
                </c:pt>
                <c:pt idx="27">
                  <c:v>46.7</c:v>
                </c:pt>
                <c:pt idx="28">
                  <c:v>59.4</c:v>
                </c:pt>
                <c:pt idx="29">
                  <c:v>68</c:v>
                </c:pt>
                <c:pt idx="30">
                  <c:v>58.7</c:v>
                </c:pt>
                <c:pt idx="31">
                  <c:v>61</c:v>
                </c:pt>
                <c:pt idx="32">
                  <c:v>50</c:v>
                </c:pt>
                <c:pt idx="33">
                  <c:v>44.3</c:v>
                </c:pt>
                <c:pt idx="34">
                  <c:v>56.9</c:v>
                </c:pt>
                <c:pt idx="35">
                  <c:v>62.5</c:v>
                </c:pt>
                <c:pt idx="36">
                  <c:v>66.8</c:v>
                </c:pt>
                <c:pt idx="37">
                  <c:v>55.5</c:v>
                </c:pt>
                <c:pt idx="38">
                  <c:v>71.400000000000006</c:v>
                </c:pt>
                <c:pt idx="39">
                  <c:v>56</c:v>
                </c:pt>
                <c:pt idx="40">
                  <c:v>48.3</c:v>
                </c:pt>
                <c:pt idx="41">
                  <c:v>55.3</c:v>
                </c:pt>
                <c:pt idx="42">
                  <c:v>58.5</c:v>
                </c:pt>
                <c:pt idx="43">
                  <c:v>56.8</c:v>
                </c:pt>
                <c:pt idx="44">
                  <c:v>61.1</c:v>
                </c:pt>
                <c:pt idx="45">
                  <c:v>58.7</c:v>
                </c:pt>
                <c:pt idx="46">
                  <c:v>63.3</c:v>
                </c:pt>
                <c:pt idx="47">
                  <c:v>59.7</c:v>
                </c:pt>
                <c:pt idx="48">
                  <c:v>76.7</c:v>
                </c:pt>
                <c:pt idx="49">
                  <c:v>83.4</c:v>
                </c:pt>
                <c:pt idx="50">
                  <c:v>57</c:v>
                </c:pt>
                <c:pt idx="51">
                  <c:v>29.8</c:v>
                </c:pt>
                <c:pt idx="52">
                  <c:v>52.1</c:v>
                </c:pt>
                <c:pt idx="53">
                  <c:v>70.7</c:v>
                </c:pt>
                <c:pt idx="54">
                  <c:v>65.2</c:v>
                </c:pt>
                <c:pt idx="55">
                  <c:v>66.400000000000006</c:v>
                </c:pt>
                <c:pt idx="56">
                  <c:v>54.4</c:v>
                </c:pt>
                <c:pt idx="57">
                  <c:v>47.3</c:v>
                </c:pt>
                <c:pt idx="58">
                  <c:v>57.9</c:v>
                </c:pt>
                <c:pt idx="59">
                  <c:v>48</c:v>
                </c:pt>
                <c:pt idx="60">
                  <c:v>51.5</c:v>
                </c:pt>
                <c:pt idx="61">
                  <c:v>46.3</c:v>
                </c:pt>
                <c:pt idx="62">
                  <c:v>41.5</c:v>
                </c:pt>
                <c:pt idx="63">
                  <c:v>55.7</c:v>
                </c:pt>
                <c:pt idx="64">
                  <c:v>58.9</c:v>
                </c:pt>
                <c:pt idx="65">
                  <c:v>60.4</c:v>
                </c:pt>
                <c:pt idx="66">
                  <c:v>67.2</c:v>
                </c:pt>
                <c:pt idx="67">
                  <c:v>69.599999999999994</c:v>
                </c:pt>
                <c:pt idx="68">
                  <c:v>48.8</c:v>
                </c:pt>
                <c:pt idx="69">
                  <c:v>46.9</c:v>
                </c:pt>
                <c:pt idx="70">
                  <c:v>59.2</c:v>
                </c:pt>
                <c:pt idx="71">
                  <c:v>59.6</c:v>
                </c:pt>
                <c:pt idx="72">
                  <c:v>57.2</c:v>
                </c:pt>
                <c:pt idx="73">
                  <c:v>58.4</c:v>
                </c:pt>
                <c:pt idx="74">
                  <c:v>32.200000000000003</c:v>
                </c:pt>
                <c:pt idx="75">
                  <c:v>60.7</c:v>
                </c:pt>
                <c:pt idx="76">
                  <c:v>50.8</c:v>
                </c:pt>
                <c:pt idx="77">
                  <c:v>50.5</c:v>
                </c:pt>
                <c:pt idx="78">
                  <c:v>57.4</c:v>
                </c:pt>
                <c:pt idx="79">
                  <c:v>52.9</c:v>
                </c:pt>
                <c:pt idx="80">
                  <c:v>35.799999999999997</c:v>
                </c:pt>
                <c:pt idx="81">
                  <c:v>33.799999999999997</c:v>
                </c:pt>
                <c:pt idx="82">
                  <c:v>52.6</c:v>
                </c:pt>
                <c:pt idx="83">
                  <c:v>57.3</c:v>
                </c:pt>
                <c:pt idx="84">
                  <c:v>50.3</c:v>
                </c:pt>
                <c:pt idx="85">
                  <c:v>35.6</c:v>
                </c:pt>
                <c:pt idx="86">
                  <c:v>54.1</c:v>
                </c:pt>
                <c:pt idx="87">
                  <c:v>49.2</c:v>
                </c:pt>
                <c:pt idx="88">
                  <c:v>46.6</c:v>
                </c:pt>
                <c:pt idx="89">
                  <c:v>48.8</c:v>
                </c:pt>
                <c:pt idx="90">
                  <c:v>54.6</c:v>
                </c:pt>
                <c:pt idx="91">
                  <c:v>55.7</c:v>
                </c:pt>
                <c:pt idx="92">
                  <c:v>59</c:v>
                </c:pt>
                <c:pt idx="93">
                  <c:v>53.5</c:v>
                </c:pt>
                <c:pt idx="94">
                  <c:v>53.4</c:v>
                </c:pt>
                <c:pt idx="95">
                  <c:v>69.099999999999994</c:v>
                </c:pt>
                <c:pt idx="96">
                  <c:v>61.1</c:v>
                </c:pt>
                <c:pt idx="97">
                  <c:v>36.799999999999997</c:v>
                </c:pt>
                <c:pt idx="98">
                  <c:v>33.5</c:v>
                </c:pt>
                <c:pt idx="99">
                  <c:v>38.6</c:v>
                </c:pt>
                <c:pt idx="100">
                  <c:v>63.2</c:v>
                </c:pt>
                <c:pt idx="101">
                  <c:v>57.9</c:v>
                </c:pt>
                <c:pt idx="102">
                  <c:v>55.3</c:v>
                </c:pt>
                <c:pt idx="103">
                  <c:v>59.5</c:v>
                </c:pt>
                <c:pt idx="104">
                  <c:v>52.1</c:v>
                </c:pt>
                <c:pt idx="105">
                  <c:v>47.1</c:v>
                </c:pt>
                <c:pt idx="106">
                  <c:v>33.299999999999997</c:v>
                </c:pt>
                <c:pt idx="107">
                  <c:v>20</c:v>
                </c:pt>
                <c:pt idx="108">
                  <c:v>65.3</c:v>
                </c:pt>
                <c:pt idx="109">
                  <c:v>21.9</c:v>
                </c:pt>
                <c:pt idx="110">
                  <c:v>32.6</c:v>
                </c:pt>
                <c:pt idx="111">
                  <c:v>37.9</c:v>
                </c:pt>
                <c:pt idx="112">
                  <c:v>46.9</c:v>
                </c:pt>
                <c:pt idx="113">
                  <c:v>45.9</c:v>
                </c:pt>
                <c:pt idx="114">
                  <c:v>57.7</c:v>
                </c:pt>
                <c:pt idx="115">
                  <c:v>37.299999999999997</c:v>
                </c:pt>
                <c:pt idx="116">
                  <c:v>43.7</c:v>
                </c:pt>
                <c:pt idx="117">
                  <c:v>26</c:v>
                </c:pt>
                <c:pt idx="118">
                  <c:v>54.3</c:v>
                </c:pt>
                <c:pt idx="119">
                  <c:v>42.3</c:v>
                </c:pt>
                <c:pt idx="120">
                  <c:v>42.3</c:v>
                </c:pt>
                <c:pt idx="121">
                  <c:v>36.1</c:v>
                </c:pt>
                <c:pt idx="122">
                  <c:v>48.5</c:v>
                </c:pt>
                <c:pt idx="123">
                  <c:v>30.4</c:v>
                </c:pt>
                <c:pt idx="124">
                  <c:v>42.5</c:v>
                </c:pt>
                <c:pt idx="125">
                  <c:v>33</c:v>
                </c:pt>
                <c:pt idx="126">
                  <c:v>29.5</c:v>
                </c:pt>
                <c:pt idx="127">
                  <c:v>27.9</c:v>
                </c:pt>
                <c:pt idx="128">
                  <c:v>44.3</c:v>
                </c:pt>
                <c:pt idx="129">
                  <c:v>46.7</c:v>
                </c:pt>
                <c:pt idx="130">
                  <c:v>23.7</c:v>
                </c:pt>
                <c:pt idx="131">
                  <c:v>35.9</c:v>
                </c:pt>
                <c:pt idx="132">
                  <c:v>38.1</c:v>
                </c:pt>
                <c:pt idx="133">
                  <c:v>39.1</c:v>
                </c:pt>
                <c:pt idx="134">
                  <c:v>49.2</c:v>
                </c:pt>
                <c:pt idx="135">
                  <c:v>39.5</c:v>
                </c:pt>
                <c:pt idx="136">
                  <c:v>25.1</c:v>
                </c:pt>
                <c:pt idx="137">
                  <c:v>29.6</c:v>
                </c:pt>
                <c:pt idx="138">
                  <c:v>23.7</c:v>
                </c:pt>
                <c:pt idx="139">
                  <c:v>50.1</c:v>
                </c:pt>
                <c:pt idx="140">
                  <c:v>49.8</c:v>
                </c:pt>
                <c:pt idx="141">
                  <c:v>37.299999999999997</c:v>
                </c:pt>
                <c:pt idx="142">
                  <c:v>68.7</c:v>
                </c:pt>
                <c:pt idx="143">
                  <c:v>57.3</c:v>
                </c:pt>
                <c:pt idx="144">
                  <c:v>56.650000000000006</c:v>
                </c:pt>
                <c:pt idx="145">
                  <c:v>71.400000000000006</c:v>
                </c:pt>
                <c:pt idx="146">
                  <c:v>53.7</c:v>
                </c:pt>
                <c:pt idx="147">
                  <c:v>68.900000000000006</c:v>
                </c:pt>
                <c:pt idx="148">
                  <c:v>61.3</c:v>
                </c:pt>
                <c:pt idx="149">
                  <c:v>61.5</c:v>
                </c:pt>
                <c:pt idx="150">
                  <c:v>62.4</c:v>
                </c:pt>
                <c:pt idx="151">
                  <c:v>50.6</c:v>
                </c:pt>
                <c:pt idx="152">
                  <c:v>59.4</c:v>
                </c:pt>
                <c:pt idx="153">
                  <c:v>45.1</c:v>
                </c:pt>
                <c:pt idx="154">
                  <c:v>47.8</c:v>
                </c:pt>
                <c:pt idx="155">
                  <c:v>56.8</c:v>
                </c:pt>
                <c:pt idx="156">
                  <c:v>53.2</c:v>
                </c:pt>
                <c:pt idx="157">
                  <c:v>53</c:v>
                </c:pt>
                <c:pt idx="158">
                  <c:v>57.5</c:v>
                </c:pt>
                <c:pt idx="159">
                  <c:v>59.7</c:v>
                </c:pt>
                <c:pt idx="160">
                  <c:v>57.7</c:v>
                </c:pt>
                <c:pt idx="161">
                  <c:v>61.6</c:v>
                </c:pt>
                <c:pt idx="162">
                  <c:v>61</c:v>
                </c:pt>
                <c:pt idx="163">
                  <c:v>52.7</c:v>
                </c:pt>
                <c:pt idx="164">
                  <c:v>51.8</c:v>
                </c:pt>
                <c:pt idx="165">
                  <c:v>50</c:v>
                </c:pt>
                <c:pt idx="166">
                  <c:v>56.7</c:v>
                </c:pt>
                <c:pt idx="167">
                  <c:v>58.1</c:v>
                </c:pt>
                <c:pt idx="168">
                  <c:v>50.7</c:v>
                </c:pt>
                <c:pt idx="169">
                  <c:v>53.6</c:v>
                </c:pt>
                <c:pt idx="170">
                  <c:v>45.6</c:v>
                </c:pt>
                <c:pt idx="171">
                  <c:v>51.5</c:v>
                </c:pt>
                <c:pt idx="172">
                  <c:v>49.6</c:v>
                </c:pt>
                <c:pt idx="173">
                  <c:v>47.8</c:v>
                </c:pt>
                <c:pt idx="174">
                  <c:v>42.5</c:v>
                </c:pt>
                <c:pt idx="175">
                  <c:v>51.5</c:v>
                </c:pt>
                <c:pt idx="176">
                  <c:v>42.2</c:v>
                </c:pt>
                <c:pt idx="177">
                  <c:v>57.4</c:v>
                </c:pt>
                <c:pt idx="178">
                  <c:v>42.9</c:v>
                </c:pt>
                <c:pt idx="179">
                  <c:v>51.7</c:v>
                </c:pt>
                <c:pt idx="180">
                  <c:v>44.6</c:v>
                </c:pt>
                <c:pt idx="181">
                  <c:v>41.4</c:v>
                </c:pt>
                <c:pt idx="182">
                  <c:v>51.2</c:v>
                </c:pt>
                <c:pt idx="183">
                  <c:v>45.3</c:v>
                </c:pt>
                <c:pt idx="184">
                  <c:v>42.9</c:v>
                </c:pt>
                <c:pt idx="185">
                  <c:v>40.6</c:v>
                </c:pt>
                <c:pt idx="186">
                  <c:v>46.1</c:v>
                </c:pt>
                <c:pt idx="187">
                  <c:v>45.2</c:v>
                </c:pt>
                <c:pt idx="188">
                  <c:v>23.7</c:v>
                </c:pt>
                <c:pt idx="189">
                  <c:v>66.599999999999994</c:v>
                </c:pt>
                <c:pt idx="190">
                  <c:v>55</c:v>
                </c:pt>
                <c:pt idx="191">
                  <c:v>56.9</c:v>
                </c:pt>
                <c:pt idx="192">
                  <c:v>78.5</c:v>
                </c:pt>
                <c:pt idx="193">
                  <c:v>60.5</c:v>
                </c:pt>
                <c:pt idx="194">
                  <c:v>70.7</c:v>
                </c:pt>
                <c:pt idx="195">
                  <c:v>63.9</c:v>
                </c:pt>
                <c:pt idx="196">
                  <c:v>67.2</c:v>
                </c:pt>
                <c:pt idx="197">
                  <c:v>57</c:v>
                </c:pt>
                <c:pt idx="198">
                  <c:v>54.8</c:v>
                </c:pt>
                <c:pt idx="199">
                  <c:v>56.6</c:v>
                </c:pt>
                <c:pt idx="200">
                  <c:v>45</c:v>
                </c:pt>
                <c:pt idx="201">
                  <c:v>48.9</c:v>
                </c:pt>
                <c:pt idx="202">
                  <c:v>60.7</c:v>
                </c:pt>
                <c:pt idx="203">
                  <c:v>57</c:v>
                </c:pt>
                <c:pt idx="204">
                  <c:v>47.9</c:v>
                </c:pt>
                <c:pt idx="205">
                  <c:v>54</c:v>
                </c:pt>
                <c:pt idx="206">
                  <c:v>58.1</c:v>
                </c:pt>
                <c:pt idx="207">
                  <c:v>50.7</c:v>
                </c:pt>
                <c:pt idx="208">
                  <c:v>54.2</c:v>
                </c:pt>
                <c:pt idx="209">
                  <c:v>44.1</c:v>
                </c:pt>
                <c:pt idx="210">
                  <c:v>47.8</c:v>
                </c:pt>
                <c:pt idx="211">
                  <c:v>49</c:v>
                </c:pt>
                <c:pt idx="212">
                  <c:v>51</c:v>
                </c:pt>
                <c:pt idx="213">
                  <c:v>51.6</c:v>
                </c:pt>
                <c:pt idx="214">
                  <c:v>61.7</c:v>
                </c:pt>
                <c:pt idx="215">
                  <c:v>55.7</c:v>
                </c:pt>
                <c:pt idx="216">
                  <c:v>54.3</c:v>
                </c:pt>
                <c:pt idx="217">
                  <c:v>50.6</c:v>
                </c:pt>
                <c:pt idx="218">
                  <c:v>43.4</c:v>
                </c:pt>
                <c:pt idx="219">
                  <c:v>51.3</c:v>
                </c:pt>
                <c:pt idx="220">
                  <c:v>51.5</c:v>
                </c:pt>
                <c:pt idx="221">
                  <c:v>29</c:v>
                </c:pt>
                <c:pt idx="222">
                  <c:v>54.4</c:v>
                </c:pt>
                <c:pt idx="223">
                  <c:v>49.1</c:v>
                </c:pt>
                <c:pt idx="224">
                  <c:v>59.2</c:v>
                </c:pt>
                <c:pt idx="225">
                  <c:v>41.7</c:v>
                </c:pt>
                <c:pt idx="226">
                  <c:v>51.8</c:v>
                </c:pt>
                <c:pt idx="227">
                  <c:v>49.7</c:v>
                </c:pt>
                <c:pt idx="228">
                  <c:v>38</c:v>
                </c:pt>
                <c:pt idx="229">
                  <c:v>40.1</c:v>
                </c:pt>
                <c:pt idx="230">
                  <c:v>51.1</c:v>
                </c:pt>
                <c:pt idx="231">
                  <c:v>51.2</c:v>
                </c:pt>
                <c:pt idx="232">
                  <c:v>32.200000000000003</c:v>
                </c:pt>
                <c:pt idx="233">
                  <c:v>36.700000000000003</c:v>
                </c:pt>
                <c:pt idx="234">
                  <c:v>30.7</c:v>
                </c:pt>
                <c:pt idx="235">
                  <c:v>39.9</c:v>
                </c:pt>
                <c:pt idx="236">
                  <c:v>60</c:v>
                </c:pt>
                <c:pt idx="237">
                  <c:v>75</c:v>
                </c:pt>
                <c:pt idx="238">
                  <c:v>50.35</c:v>
                </c:pt>
                <c:pt idx="239">
                  <c:v>67.8</c:v>
                </c:pt>
                <c:pt idx="240">
                  <c:v>47.5</c:v>
                </c:pt>
                <c:pt idx="241">
                  <c:v>74.3</c:v>
                </c:pt>
                <c:pt idx="242">
                  <c:v>55.4</c:v>
                </c:pt>
                <c:pt idx="243">
                  <c:v>60.1</c:v>
                </c:pt>
                <c:pt idx="244">
                  <c:v>57.3</c:v>
                </c:pt>
                <c:pt idx="245">
                  <c:v>53.8</c:v>
                </c:pt>
                <c:pt idx="246">
                  <c:v>55.8</c:v>
                </c:pt>
                <c:pt idx="247">
                  <c:v>34.5</c:v>
                </c:pt>
                <c:pt idx="248">
                  <c:v>43.4</c:v>
                </c:pt>
                <c:pt idx="249">
                  <c:v>62.3</c:v>
                </c:pt>
                <c:pt idx="250">
                  <c:v>50.1</c:v>
                </c:pt>
                <c:pt idx="251">
                  <c:v>47.9</c:v>
                </c:pt>
                <c:pt idx="252">
                  <c:v>58.2</c:v>
                </c:pt>
                <c:pt idx="253">
                  <c:v>47.9</c:v>
                </c:pt>
                <c:pt idx="254">
                  <c:v>46.2</c:v>
                </c:pt>
                <c:pt idx="255">
                  <c:v>43.5</c:v>
                </c:pt>
                <c:pt idx="256">
                  <c:v>42.9</c:v>
                </c:pt>
                <c:pt idx="257">
                  <c:v>34.700000000000003</c:v>
                </c:pt>
                <c:pt idx="258">
                  <c:v>45.8</c:v>
                </c:pt>
                <c:pt idx="259">
                  <c:v>44.8</c:v>
                </c:pt>
                <c:pt idx="260">
                  <c:v>59.2</c:v>
                </c:pt>
                <c:pt idx="261">
                  <c:v>58.5</c:v>
                </c:pt>
                <c:pt idx="262">
                  <c:v>39.299999999999997</c:v>
                </c:pt>
                <c:pt idx="263">
                  <c:v>55.5</c:v>
                </c:pt>
                <c:pt idx="264">
                  <c:v>47.7</c:v>
                </c:pt>
                <c:pt idx="265">
                  <c:v>48.8</c:v>
                </c:pt>
                <c:pt idx="266">
                  <c:v>38.4</c:v>
                </c:pt>
                <c:pt idx="267">
                  <c:v>28.7</c:v>
                </c:pt>
                <c:pt idx="268">
                  <c:v>23.2</c:v>
                </c:pt>
                <c:pt idx="269">
                  <c:v>53</c:v>
                </c:pt>
                <c:pt idx="270">
                  <c:v>38.9</c:v>
                </c:pt>
                <c:pt idx="271">
                  <c:v>58</c:v>
                </c:pt>
                <c:pt idx="272">
                  <c:v>41.5</c:v>
                </c:pt>
                <c:pt idx="273">
                  <c:v>51.1</c:v>
                </c:pt>
                <c:pt idx="274">
                  <c:v>45.4</c:v>
                </c:pt>
                <c:pt idx="275">
                  <c:v>22.7</c:v>
                </c:pt>
                <c:pt idx="276">
                  <c:v>41.6</c:v>
                </c:pt>
                <c:pt idx="277">
                  <c:v>28.4</c:v>
                </c:pt>
                <c:pt idx="278">
                  <c:v>45.1</c:v>
                </c:pt>
                <c:pt idx="279">
                  <c:v>36</c:v>
                </c:pt>
                <c:pt idx="280">
                  <c:v>38.5</c:v>
                </c:pt>
                <c:pt idx="281">
                  <c:v>27.7</c:v>
                </c:pt>
              </c:numCache>
            </c:numRef>
          </c:xVal>
          <c:yVal>
            <c:numRef>
              <c:f>Sheet1!$D$2:$D$283</c:f>
              <c:numCache>
                <c:formatCode>0.0</c:formatCode>
                <c:ptCount val="282"/>
                <c:pt idx="0">
                  <c:v>3.5</c:v>
                </c:pt>
                <c:pt idx="1">
                  <c:v>1</c:v>
                </c:pt>
                <c:pt idx="2">
                  <c:v>1</c:v>
                </c:pt>
                <c:pt idx="3">
                  <c:v>2.375</c:v>
                </c:pt>
                <c:pt idx="4">
                  <c:v>1</c:v>
                </c:pt>
                <c:pt idx="5">
                  <c:v>2.25</c:v>
                </c:pt>
                <c:pt idx="6">
                  <c:v>1</c:v>
                </c:pt>
                <c:pt idx="7">
                  <c:v>1.75</c:v>
                </c:pt>
                <c:pt idx="8">
                  <c:v>2</c:v>
                </c:pt>
                <c:pt idx="9">
                  <c:v>1.5</c:v>
                </c:pt>
                <c:pt idx="10">
                  <c:v>2.25</c:v>
                </c:pt>
                <c:pt idx="11">
                  <c:v>1.5</c:v>
                </c:pt>
                <c:pt idx="12">
                  <c:v>2</c:v>
                </c:pt>
                <c:pt idx="13">
                  <c:v>2</c:v>
                </c:pt>
                <c:pt idx="14">
                  <c:v>1.5</c:v>
                </c:pt>
                <c:pt idx="15">
                  <c:v>1.75</c:v>
                </c:pt>
                <c:pt idx="16">
                  <c:v>1.75</c:v>
                </c:pt>
                <c:pt idx="17">
                  <c:v>1.75</c:v>
                </c:pt>
                <c:pt idx="18">
                  <c:v>1.75</c:v>
                </c:pt>
                <c:pt idx="19">
                  <c:v>1.75</c:v>
                </c:pt>
                <c:pt idx="20">
                  <c:v>2.5</c:v>
                </c:pt>
                <c:pt idx="21">
                  <c:v>1.25</c:v>
                </c:pt>
                <c:pt idx="22">
                  <c:v>2.25</c:v>
                </c:pt>
                <c:pt idx="23">
                  <c:v>2</c:v>
                </c:pt>
                <c:pt idx="24">
                  <c:v>1.75</c:v>
                </c:pt>
                <c:pt idx="25">
                  <c:v>2.5</c:v>
                </c:pt>
                <c:pt idx="26">
                  <c:v>2.25</c:v>
                </c:pt>
                <c:pt idx="27">
                  <c:v>2.5</c:v>
                </c:pt>
                <c:pt idx="28">
                  <c:v>2.5</c:v>
                </c:pt>
                <c:pt idx="29">
                  <c:v>1.5</c:v>
                </c:pt>
                <c:pt idx="30">
                  <c:v>1.75</c:v>
                </c:pt>
                <c:pt idx="31">
                  <c:v>2.25</c:v>
                </c:pt>
                <c:pt idx="32">
                  <c:v>1.5</c:v>
                </c:pt>
                <c:pt idx="33">
                  <c:v>3</c:v>
                </c:pt>
                <c:pt idx="34">
                  <c:v>2.25</c:v>
                </c:pt>
                <c:pt idx="35">
                  <c:v>2.25</c:v>
                </c:pt>
                <c:pt idx="36">
                  <c:v>3</c:v>
                </c:pt>
                <c:pt idx="37">
                  <c:v>2.5</c:v>
                </c:pt>
                <c:pt idx="38">
                  <c:v>2.5</c:v>
                </c:pt>
                <c:pt idx="39">
                  <c:v>3</c:v>
                </c:pt>
                <c:pt idx="40">
                  <c:v>2</c:v>
                </c:pt>
                <c:pt idx="41">
                  <c:v>2.25</c:v>
                </c:pt>
                <c:pt idx="42">
                  <c:v>2.75</c:v>
                </c:pt>
                <c:pt idx="43">
                  <c:v>2.25</c:v>
                </c:pt>
                <c:pt idx="44">
                  <c:v>1.75</c:v>
                </c:pt>
                <c:pt idx="45">
                  <c:v>2.75</c:v>
                </c:pt>
                <c:pt idx="46">
                  <c:v>3</c:v>
                </c:pt>
                <c:pt idx="47">
                  <c:v>3.25</c:v>
                </c:pt>
                <c:pt idx="48">
                  <c:v>1</c:v>
                </c:pt>
                <c:pt idx="49">
                  <c:v>1</c:v>
                </c:pt>
                <c:pt idx="50">
                  <c:v>2.625</c:v>
                </c:pt>
                <c:pt idx="51">
                  <c:v>1</c:v>
                </c:pt>
                <c:pt idx="52">
                  <c:v>2.25</c:v>
                </c:pt>
                <c:pt idx="53">
                  <c:v>1</c:v>
                </c:pt>
                <c:pt idx="54">
                  <c:v>1.25</c:v>
                </c:pt>
                <c:pt idx="55">
                  <c:v>1.75</c:v>
                </c:pt>
                <c:pt idx="56">
                  <c:v>1.75</c:v>
                </c:pt>
                <c:pt idx="57">
                  <c:v>1.75</c:v>
                </c:pt>
                <c:pt idx="58">
                  <c:v>1.75</c:v>
                </c:pt>
                <c:pt idx="59">
                  <c:v>2</c:v>
                </c:pt>
                <c:pt idx="60">
                  <c:v>1.75</c:v>
                </c:pt>
                <c:pt idx="61">
                  <c:v>1.25</c:v>
                </c:pt>
                <c:pt idx="62">
                  <c:v>2</c:v>
                </c:pt>
                <c:pt idx="63">
                  <c:v>1.5</c:v>
                </c:pt>
                <c:pt idx="64">
                  <c:v>1.5</c:v>
                </c:pt>
                <c:pt idx="65">
                  <c:v>1.75</c:v>
                </c:pt>
                <c:pt idx="66">
                  <c:v>1.75</c:v>
                </c:pt>
                <c:pt idx="67">
                  <c:v>1.75</c:v>
                </c:pt>
                <c:pt idx="68">
                  <c:v>1.75</c:v>
                </c:pt>
                <c:pt idx="69">
                  <c:v>2</c:v>
                </c:pt>
                <c:pt idx="70">
                  <c:v>2.5</c:v>
                </c:pt>
                <c:pt idx="71">
                  <c:v>1.5</c:v>
                </c:pt>
                <c:pt idx="72">
                  <c:v>2.5</c:v>
                </c:pt>
                <c:pt idx="73">
                  <c:v>1.75</c:v>
                </c:pt>
                <c:pt idx="74">
                  <c:v>2.25</c:v>
                </c:pt>
                <c:pt idx="75">
                  <c:v>2.5</c:v>
                </c:pt>
                <c:pt idx="76">
                  <c:v>1.5</c:v>
                </c:pt>
                <c:pt idx="77">
                  <c:v>2.5</c:v>
                </c:pt>
                <c:pt idx="78">
                  <c:v>2</c:v>
                </c:pt>
                <c:pt idx="79">
                  <c:v>1.75</c:v>
                </c:pt>
                <c:pt idx="80">
                  <c:v>3</c:v>
                </c:pt>
                <c:pt idx="81">
                  <c:v>2.25</c:v>
                </c:pt>
                <c:pt idx="82">
                  <c:v>2.5</c:v>
                </c:pt>
                <c:pt idx="83">
                  <c:v>3</c:v>
                </c:pt>
                <c:pt idx="84">
                  <c:v>2.75</c:v>
                </c:pt>
                <c:pt idx="85">
                  <c:v>2.5</c:v>
                </c:pt>
                <c:pt idx="86">
                  <c:v>2.75</c:v>
                </c:pt>
                <c:pt idx="87">
                  <c:v>2.5</c:v>
                </c:pt>
                <c:pt idx="88">
                  <c:v>2.75</c:v>
                </c:pt>
                <c:pt idx="89">
                  <c:v>3</c:v>
                </c:pt>
                <c:pt idx="90">
                  <c:v>2.75</c:v>
                </c:pt>
                <c:pt idx="91">
                  <c:v>2.25</c:v>
                </c:pt>
                <c:pt idx="92">
                  <c:v>2.75</c:v>
                </c:pt>
                <c:pt idx="93">
                  <c:v>3</c:v>
                </c:pt>
                <c:pt idx="94">
                  <c:v>3.25</c:v>
                </c:pt>
                <c:pt idx="95">
                  <c:v>1</c:v>
                </c:pt>
                <c:pt idx="96">
                  <c:v>1</c:v>
                </c:pt>
                <c:pt idx="97">
                  <c:v>2.875</c:v>
                </c:pt>
                <c:pt idx="98">
                  <c:v>1</c:v>
                </c:pt>
                <c:pt idx="99">
                  <c:v>2</c:v>
                </c:pt>
                <c:pt idx="100">
                  <c:v>1</c:v>
                </c:pt>
                <c:pt idx="101">
                  <c:v>1.25</c:v>
                </c:pt>
                <c:pt idx="102">
                  <c:v>1.5</c:v>
                </c:pt>
                <c:pt idx="103">
                  <c:v>1.25</c:v>
                </c:pt>
                <c:pt idx="104">
                  <c:v>1.75</c:v>
                </c:pt>
                <c:pt idx="105">
                  <c:v>1.5</c:v>
                </c:pt>
                <c:pt idx="106">
                  <c:v>2.5</c:v>
                </c:pt>
                <c:pt idx="107">
                  <c:v>2</c:v>
                </c:pt>
                <c:pt idx="108">
                  <c:v>1.5</c:v>
                </c:pt>
                <c:pt idx="109">
                  <c:v>2.5</c:v>
                </c:pt>
                <c:pt idx="110">
                  <c:v>2.5</c:v>
                </c:pt>
                <c:pt idx="111">
                  <c:v>2.25</c:v>
                </c:pt>
                <c:pt idx="112">
                  <c:v>1.75</c:v>
                </c:pt>
                <c:pt idx="113">
                  <c:v>1.5</c:v>
                </c:pt>
                <c:pt idx="114">
                  <c:v>1.75</c:v>
                </c:pt>
                <c:pt idx="115">
                  <c:v>2</c:v>
                </c:pt>
                <c:pt idx="116">
                  <c:v>2.25</c:v>
                </c:pt>
                <c:pt idx="117">
                  <c:v>2.5</c:v>
                </c:pt>
                <c:pt idx="118">
                  <c:v>2</c:v>
                </c:pt>
                <c:pt idx="119">
                  <c:v>2</c:v>
                </c:pt>
                <c:pt idx="120">
                  <c:v>2</c:v>
                </c:pt>
                <c:pt idx="121">
                  <c:v>2.25</c:v>
                </c:pt>
                <c:pt idx="122">
                  <c:v>2</c:v>
                </c:pt>
                <c:pt idx="123">
                  <c:v>2.25</c:v>
                </c:pt>
                <c:pt idx="124">
                  <c:v>2</c:v>
                </c:pt>
                <c:pt idx="125">
                  <c:v>2.5</c:v>
                </c:pt>
                <c:pt idx="126">
                  <c:v>2</c:v>
                </c:pt>
                <c:pt idx="127">
                  <c:v>2.75</c:v>
                </c:pt>
                <c:pt idx="128">
                  <c:v>2.25</c:v>
                </c:pt>
                <c:pt idx="129">
                  <c:v>2.5</c:v>
                </c:pt>
                <c:pt idx="130">
                  <c:v>2.75</c:v>
                </c:pt>
                <c:pt idx="131">
                  <c:v>2.75</c:v>
                </c:pt>
                <c:pt idx="132">
                  <c:v>2</c:v>
                </c:pt>
                <c:pt idx="133">
                  <c:v>2.5</c:v>
                </c:pt>
                <c:pt idx="134">
                  <c:v>3</c:v>
                </c:pt>
                <c:pt idx="135">
                  <c:v>2.75</c:v>
                </c:pt>
                <c:pt idx="136">
                  <c:v>2.75</c:v>
                </c:pt>
                <c:pt idx="137">
                  <c:v>3</c:v>
                </c:pt>
                <c:pt idx="138">
                  <c:v>2.75</c:v>
                </c:pt>
                <c:pt idx="139">
                  <c:v>2.75</c:v>
                </c:pt>
                <c:pt idx="140">
                  <c:v>3</c:v>
                </c:pt>
                <c:pt idx="141">
                  <c:v>3.75</c:v>
                </c:pt>
                <c:pt idx="142">
                  <c:v>1</c:v>
                </c:pt>
                <c:pt idx="143">
                  <c:v>1</c:v>
                </c:pt>
                <c:pt idx="144">
                  <c:v>2.75</c:v>
                </c:pt>
                <c:pt idx="145">
                  <c:v>1</c:v>
                </c:pt>
                <c:pt idx="146">
                  <c:v>2.5</c:v>
                </c:pt>
                <c:pt idx="147">
                  <c:v>1</c:v>
                </c:pt>
                <c:pt idx="148">
                  <c:v>1.25</c:v>
                </c:pt>
                <c:pt idx="149">
                  <c:v>1.75</c:v>
                </c:pt>
                <c:pt idx="150">
                  <c:v>2.25</c:v>
                </c:pt>
                <c:pt idx="151">
                  <c:v>2</c:v>
                </c:pt>
                <c:pt idx="152">
                  <c:v>1.5</c:v>
                </c:pt>
                <c:pt idx="153">
                  <c:v>1.75</c:v>
                </c:pt>
                <c:pt idx="154">
                  <c:v>2</c:v>
                </c:pt>
                <c:pt idx="155">
                  <c:v>2.25</c:v>
                </c:pt>
                <c:pt idx="156">
                  <c:v>2.5</c:v>
                </c:pt>
                <c:pt idx="157">
                  <c:v>1.5</c:v>
                </c:pt>
                <c:pt idx="158">
                  <c:v>2.25</c:v>
                </c:pt>
                <c:pt idx="159">
                  <c:v>1.75</c:v>
                </c:pt>
                <c:pt idx="160">
                  <c:v>2.5</c:v>
                </c:pt>
                <c:pt idx="161">
                  <c:v>2</c:v>
                </c:pt>
                <c:pt idx="162">
                  <c:v>2</c:v>
                </c:pt>
                <c:pt idx="163">
                  <c:v>2</c:v>
                </c:pt>
                <c:pt idx="164">
                  <c:v>2.25</c:v>
                </c:pt>
                <c:pt idx="165">
                  <c:v>2</c:v>
                </c:pt>
                <c:pt idx="166">
                  <c:v>2.75</c:v>
                </c:pt>
                <c:pt idx="167">
                  <c:v>2.75</c:v>
                </c:pt>
                <c:pt idx="168">
                  <c:v>2.5</c:v>
                </c:pt>
                <c:pt idx="169">
                  <c:v>2.75</c:v>
                </c:pt>
                <c:pt idx="170">
                  <c:v>2.25</c:v>
                </c:pt>
                <c:pt idx="171">
                  <c:v>2.5</c:v>
                </c:pt>
                <c:pt idx="172">
                  <c:v>2.5</c:v>
                </c:pt>
                <c:pt idx="173">
                  <c:v>1.75</c:v>
                </c:pt>
                <c:pt idx="174">
                  <c:v>2.5</c:v>
                </c:pt>
                <c:pt idx="175">
                  <c:v>3</c:v>
                </c:pt>
                <c:pt idx="176">
                  <c:v>3.25</c:v>
                </c:pt>
                <c:pt idx="177">
                  <c:v>2.75</c:v>
                </c:pt>
                <c:pt idx="178">
                  <c:v>3.5</c:v>
                </c:pt>
                <c:pt idx="179">
                  <c:v>3.5</c:v>
                </c:pt>
                <c:pt idx="180">
                  <c:v>3.25</c:v>
                </c:pt>
                <c:pt idx="181">
                  <c:v>2.5</c:v>
                </c:pt>
                <c:pt idx="182">
                  <c:v>2.75</c:v>
                </c:pt>
                <c:pt idx="183">
                  <c:v>3.25</c:v>
                </c:pt>
                <c:pt idx="184">
                  <c:v>3.75</c:v>
                </c:pt>
                <c:pt idx="185">
                  <c:v>3.25</c:v>
                </c:pt>
                <c:pt idx="186">
                  <c:v>3.25</c:v>
                </c:pt>
                <c:pt idx="187">
                  <c:v>3.5</c:v>
                </c:pt>
                <c:pt idx="188">
                  <c:v>4</c:v>
                </c:pt>
                <c:pt idx="189">
                  <c:v>1</c:v>
                </c:pt>
                <c:pt idx="190">
                  <c:v>1</c:v>
                </c:pt>
                <c:pt idx="191">
                  <c:v>2.5</c:v>
                </c:pt>
                <c:pt idx="192">
                  <c:v>1</c:v>
                </c:pt>
                <c:pt idx="193">
                  <c:v>2.5</c:v>
                </c:pt>
                <c:pt idx="194">
                  <c:v>1</c:v>
                </c:pt>
                <c:pt idx="195">
                  <c:v>1</c:v>
                </c:pt>
                <c:pt idx="196">
                  <c:v>1.75</c:v>
                </c:pt>
                <c:pt idx="197">
                  <c:v>1.5</c:v>
                </c:pt>
                <c:pt idx="198">
                  <c:v>2</c:v>
                </c:pt>
                <c:pt idx="199">
                  <c:v>1.75</c:v>
                </c:pt>
                <c:pt idx="200">
                  <c:v>1.5</c:v>
                </c:pt>
                <c:pt idx="201">
                  <c:v>2</c:v>
                </c:pt>
                <c:pt idx="202">
                  <c:v>2</c:v>
                </c:pt>
                <c:pt idx="203">
                  <c:v>1.75</c:v>
                </c:pt>
                <c:pt idx="204">
                  <c:v>2</c:v>
                </c:pt>
                <c:pt idx="205">
                  <c:v>1.75</c:v>
                </c:pt>
                <c:pt idx="206">
                  <c:v>2.25</c:v>
                </c:pt>
                <c:pt idx="207">
                  <c:v>1.75</c:v>
                </c:pt>
                <c:pt idx="208">
                  <c:v>2.5</c:v>
                </c:pt>
                <c:pt idx="209">
                  <c:v>2.5</c:v>
                </c:pt>
                <c:pt idx="210">
                  <c:v>2</c:v>
                </c:pt>
                <c:pt idx="211">
                  <c:v>2.25</c:v>
                </c:pt>
                <c:pt idx="212">
                  <c:v>2</c:v>
                </c:pt>
                <c:pt idx="213">
                  <c:v>3</c:v>
                </c:pt>
                <c:pt idx="214">
                  <c:v>2.5</c:v>
                </c:pt>
                <c:pt idx="215">
                  <c:v>2</c:v>
                </c:pt>
                <c:pt idx="216">
                  <c:v>3</c:v>
                </c:pt>
                <c:pt idx="217">
                  <c:v>2.5</c:v>
                </c:pt>
                <c:pt idx="218">
                  <c:v>2.5</c:v>
                </c:pt>
                <c:pt idx="219">
                  <c:v>2</c:v>
                </c:pt>
                <c:pt idx="220">
                  <c:v>2.25</c:v>
                </c:pt>
                <c:pt idx="221">
                  <c:v>2.75</c:v>
                </c:pt>
                <c:pt idx="222">
                  <c:v>3</c:v>
                </c:pt>
                <c:pt idx="223">
                  <c:v>2.5</c:v>
                </c:pt>
                <c:pt idx="224">
                  <c:v>3.5</c:v>
                </c:pt>
                <c:pt idx="225">
                  <c:v>3.25</c:v>
                </c:pt>
                <c:pt idx="226">
                  <c:v>3</c:v>
                </c:pt>
                <c:pt idx="227">
                  <c:v>3.25</c:v>
                </c:pt>
                <c:pt idx="228">
                  <c:v>2.5</c:v>
                </c:pt>
                <c:pt idx="229">
                  <c:v>2.5</c:v>
                </c:pt>
                <c:pt idx="230">
                  <c:v>3</c:v>
                </c:pt>
                <c:pt idx="231">
                  <c:v>3.5</c:v>
                </c:pt>
                <c:pt idx="232">
                  <c:v>3</c:v>
                </c:pt>
                <c:pt idx="233">
                  <c:v>3.25</c:v>
                </c:pt>
                <c:pt idx="234">
                  <c:v>3.5</c:v>
                </c:pt>
                <c:pt idx="235">
                  <c:v>3.75</c:v>
                </c:pt>
                <c:pt idx="236">
                  <c:v>1</c:v>
                </c:pt>
                <c:pt idx="237">
                  <c:v>1</c:v>
                </c:pt>
                <c:pt idx="238">
                  <c:v>2.5</c:v>
                </c:pt>
                <c:pt idx="239">
                  <c:v>1</c:v>
                </c:pt>
                <c:pt idx="240">
                  <c:v>2.5</c:v>
                </c:pt>
                <c:pt idx="241">
                  <c:v>1</c:v>
                </c:pt>
                <c:pt idx="242">
                  <c:v>1.5</c:v>
                </c:pt>
                <c:pt idx="243">
                  <c:v>1.75</c:v>
                </c:pt>
                <c:pt idx="244">
                  <c:v>1.75</c:v>
                </c:pt>
                <c:pt idx="245">
                  <c:v>1.5</c:v>
                </c:pt>
                <c:pt idx="246">
                  <c:v>1.5</c:v>
                </c:pt>
                <c:pt idx="247">
                  <c:v>1.5</c:v>
                </c:pt>
                <c:pt idx="248">
                  <c:v>2</c:v>
                </c:pt>
                <c:pt idx="249">
                  <c:v>2</c:v>
                </c:pt>
                <c:pt idx="250">
                  <c:v>2.25</c:v>
                </c:pt>
                <c:pt idx="251">
                  <c:v>2</c:v>
                </c:pt>
                <c:pt idx="252">
                  <c:v>1.75</c:v>
                </c:pt>
                <c:pt idx="253">
                  <c:v>2.25</c:v>
                </c:pt>
                <c:pt idx="254">
                  <c:v>2</c:v>
                </c:pt>
                <c:pt idx="255">
                  <c:v>2.5</c:v>
                </c:pt>
                <c:pt idx="256">
                  <c:v>2</c:v>
                </c:pt>
                <c:pt idx="257">
                  <c:v>2.25</c:v>
                </c:pt>
                <c:pt idx="258">
                  <c:v>2.5</c:v>
                </c:pt>
                <c:pt idx="259">
                  <c:v>2.25</c:v>
                </c:pt>
                <c:pt idx="260">
                  <c:v>2.25</c:v>
                </c:pt>
                <c:pt idx="261">
                  <c:v>2.75</c:v>
                </c:pt>
                <c:pt idx="262">
                  <c:v>2</c:v>
                </c:pt>
                <c:pt idx="263">
                  <c:v>2.5</c:v>
                </c:pt>
                <c:pt idx="264">
                  <c:v>1.5</c:v>
                </c:pt>
                <c:pt idx="265">
                  <c:v>2.5</c:v>
                </c:pt>
                <c:pt idx="266">
                  <c:v>3</c:v>
                </c:pt>
                <c:pt idx="267">
                  <c:v>2.5</c:v>
                </c:pt>
                <c:pt idx="268">
                  <c:v>2.5</c:v>
                </c:pt>
                <c:pt idx="269">
                  <c:v>2.25</c:v>
                </c:pt>
                <c:pt idx="270">
                  <c:v>3</c:v>
                </c:pt>
                <c:pt idx="271">
                  <c:v>3.25</c:v>
                </c:pt>
                <c:pt idx="272">
                  <c:v>2.75</c:v>
                </c:pt>
                <c:pt idx="273">
                  <c:v>3</c:v>
                </c:pt>
                <c:pt idx="274">
                  <c:v>3.5</c:v>
                </c:pt>
                <c:pt idx="275">
                  <c:v>3</c:v>
                </c:pt>
                <c:pt idx="276">
                  <c:v>3</c:v>
                </c:pt>
                <c:pt idx="277">
                  <c:v>3.25</c:v>
                </c:pt>
                <c:pt idx="278">
                  <c:v>3</c:v>
                </c:pt>
                <c:pt idx="279">
                  <c:v>3.25</c:v>
                </c:pt>
                <c:pt idx="280">
                  <c:v>3.75</c:v>
                </c:pt>
                <c:pt idx="281">
                  <c:v>3.5</c:v>
                </c:pt>
              </c:numCache>
            </c:numRef>
          </c:yVal>
          <c:smooth val="0"/>
          <c:extLst>
            <c:ext xmlns:c16="http://schemas.microsoft.com/office/drawing/2014/chart" uri="{C3380CC4-5D6E-409C-BE32-E72D297353CC}">
              <c16:uniqueId val="{00000001-E942-4964-95F6-04C15222326D}"/>
            </c:ext>
          </c:extLst>
        </c:ser>
        <c:dLbls>
          <c:showLegendKey val="0"/>
          <c:showVal val="0"/>
          <c:showCatName val="0"/>
          <c:showSerName val="0"/>
          <c:showPercent val="0"/>
          <c:showBubbleSize val="0"/>
        </c:dLbls>
        <c:axId val="457827080"/>
        <c:axId val="457829704"/>
      </c:scatterChart>
      <c:valAx>
        <c:axId val="457827080"/>
        <c:scaling>
          <c:orientation val="minMax"/>
          <c:max val="85"/>
          <c:min val="18"/>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Yield (bu/ac)</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57829704"/>
        <c:crosses val="autoZero"/>
        <c:crossBetween val="midCat"/>
      </c:valAx>
      <c:valAx>
        <c:axId val="457829704"/>
        <c:scaling>
          <c:orientation val="minMax"/>
          <c:max val="4.5"/>
          <c:min val="0"/>
        </c:scaling>
        <c:delete val="0"/>
        <c:axPos val="l"/>
        <c:majorGridlines>
          <c:spPr>
            <a:ln w="12700" cap="flat" cmpd="sng" algn="ctr">
              <a:solidFill>
                <a:sysClr val="window" lastClr="FFFFFF">
                  <a:lumMod val="85000"/>
                  <a:alpha val="50000"/>
                </a:sys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Dicamba damage</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457827080"/>
        <c:crosses val="autoZero"/>
        <c:crossBetween val="midCat"/>
        <c:minorUnit val="0.5"/>
      </c:valAx>
      <c:spPr>
        <a:solidFill>
          <a:sysClr val="window" lastClr="FFFFFF">
            <a:lumMod val="85000"/>
            <a:alpha val="20000"/>
          </a:sys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Dawn</cp:lastModifiedBy>
  <cp:revision>2</cp:revision>
  <cp:lastPrinted>2015-12-03T22:07:00Z</cp:lastPrinted>
  <dcterms:created xsi:type="dcterms:W3CDTF">2021-03-22T16:25:00Z</dcterms:created>
  <dcterms:modified xsi:type="dcterms:W3CDTF">2021-03-22T16:25:00Z</dcterms:modified>
</cp:coreProperties>
</file>