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2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00"/>
        <w:gridCol w:w="7020"/>
      </w:tblGrid>
      <w:tr w:rsidR="009D5AFE" w:rsidRPr="000C5A6C" w14:paraId="02521C23" w14:textId="77777777" w:rsidTr="009562EC">
        <w:tc>
          <w:tcPr>
            <w:tcW w:w="2700" w:type="dxa"/>
            <w:tcMar>
              <w:top w:w="43" w:type="dxa"/>
              <w:left w:w="0" w:type="dxa"/>
              <w:bottom w:w="43" w:type="dxa"/>
              <w:right w:w="0" w:type="dxa"/>
            </w:tcMar>
          </w:tcPr>
          <w:p w14:paraId="158144B8" w14:textId="77777777" w:rsidR="00335A26" w:rsidRPr="000C5A6C" w:rsidRDefault="00335A26" w:rsidP="007E02DE">
            <w:pPr>
              <w:pStyle w:val="Heading2"/>
              <w:keepNext w:val="0"/>
              <w:numPr>
                <w:ilvl w:val="0"/>
                <w:numId w:val="0"/>
              </w:numPr>
              <w:spacing w:after="0"/>
              <w:ind w:left="576" w:hanging="576"/>
              <w:jc w:val="both"/>
              <w:rPr>
                <w:rFonts w:asciiTheme="minorHAnsi" w:hAnsiTheme="minorHAnsi" w:cstheme="minorHAnsi"/>
                <w:color w:val="auto"/>
                <w:sz w:val="22"/>
                <w:szCs w:val="22"/>
              </w:rPr>
            </w:pPr>
            <w:r w:rsidRPr="000C5A6C">
              <w:rPr>
                <w:rFonts w:asciiTheme="minorHAnsi" w:hAnsiTheme="minorHAnsi" w:cstheme="minorHAnsi"/>
                <w:color w:val="auto"/>
                <w:sz w:val="22"/>
                <w:szCs w:val="22"/>
              </w:rPr>
              <w:t xml:space="preserve">Project Number: </w:t>
            </w:r>
          </w:p>
        </w:tc>
        <w:tc>
          <w:tcPr>
            <w:tcW w:w="7020" w:type="dxa"/>
            <w:tcMar>
              <w:top w:w="43" w:type="dxa"/>
              <w:left w:w="0" w:type="dxa"/>
              <w:bottom w:w="43" w:type="dxa"/>
              <w:right w:w="0" w:type="dxa"/>
            </w:tcMar>
          </w:tcPr>
          <w:p w14:paraId="1B36045D" w14:textId="44E1BFDE" w:rsidR="00335A26" w:rsidRPr="00BC38B5" w:rsidRDefault="002F05D6" w:rsidP="007E02DE">
            <w:pPr>
              <w:spacing w:line="240" w:lineRule="auto"/>
              <w:jc w:val="both"/>
              <w:rPr>
                <w:rFonts w:asciiTheme="minorHAnsi" w:hAnsiTheme="minorHAnsi" w:cstheme="minorHAnsi"/>
                <w:bCs w:val="0"/>
                <w:color w:val="000000"/>
                <w:kern w:val="0"/>
                <w:sz w:val="22"/>
                <w:szCs w:val="22"/>
              </w:rPr>
            </w:pPr>
            <w:r>
              <w:rPr>
                <w:rFonts w:asciiTheme="minorHAnsi" w:hAnsiTheme="minorHAnsi" w:cstheme="minorHAnsi"/>
                <w:color w:val="000000"/>
                <w:sz w:val="22"/>
                <w:szCs w:val="22"/>
              </w:rPr>
              <w:t>00085154</w:t>
            </w:r>
          </w:p>
        </w:tc>
      </w:tr>
      <w:tr w:rsidR="009D5AFE" w:rsidRPr="000C5A6C" w14:paraId="2A8D7C18" w14:textId="77777777" w:rsidTr="009562EC">
        <w:tc>
          <w:tcPr>
            <w:tcW w:w="2700" w:type="dxa"/>
            <w:tcMar>
              <w:top w:w="43" w:type="dxa"/>
              <w:left w:w="0" w:type="dxa"/>
              <w:bottom w:w="43" w:type="dxa"/>
              <w:right w:w="0" w:type="dxa"/>
            </w:tcMar>
          </w:tcPr>
          <w:p w14:paraId="230E0E9C" w14:textId="77777777" w:rsidR="00335A26" w:rsidRPr="000C5A6C" w:rsidRDefault="00335A26" w:rsidP="007E02DE">
            <w:pPr>
              <w:pStyle w:val="Heading2"/>
              <w:keepNext w:val="0"/>
              <w:numPr>
                <w:ilvl w:val="0"/>
                <w:numId w:val="0"/>
              </w:numPr>
              <w:spacing w:after="0"/>
              <w:ind w:left="576" w:hanging="576"/>
              <w:jc w:val="both"/>
              <w:rPr>
                <w:rFonts w:asciiTheme="minorHAnsi" w:hAnsiTheme="minorHAnsi" w:cstheme="minorHAnsi"/>
                <w:i/>
                <w:color w:val="auto"/>
                <w:sz w:val="22"/>
                <w:szCs w:val="22"/>
              </w:rPr>
            </w:pPr>
            <w:r w:rsidRPr="000C5A6C">
              <w:rPr>
                <w:rFonts w:asciiTheme="minorHAnsi" w:hAnsiTheme="minorHAnsi" w:cstheme="minorHAnsi"/>
                <w:color w:val="auto"/>
                <w:sz w:val="22"/>
                <w:szCs w:val="22"/>
              </w:rPr>
              <w:t xml:space="preserve">Project Title: </w:t>
            </w:r>
          </w:p>
        </w:tc>
        <w:tc>
          <w:tcPr>
            <w:tcW w:w="7020" w:type="dxa"/>
            <w:tcMar>
              <w:top w:w="43" w:type="dxa"/>
              <w:left w:w="0" w:type="dxa"/>
              <w:bottom w:w="43" w:type="dxa"/>
              <w:right w:w="0" w:type="dxa"/>
            </w:tcMar>
          </w:tcPr>
          <w:p w14:paraId="6D532A5F" w14:textId="1FE8FBBF" w:rsidR="00335A26" w:rsidRPr="00BC38B5" w:rsidRDefault="00BC38B5" w:rsidP="007E02DE">
            <w:pPr>
              <w:spacing w:line="240" w:lineRule="auto"/>
              <w:jc w:val="both"/>
              <w:rPr>
                <w:rFonts w:asciiTheme="minorHAnsi" w:hAnsiTheme="minorHAnsi" w:cstheme="minorHAnsi"/>
                <w:sz w:val="22"/>
                <w:szCs w:val="22"/>
              </w:rPr>
            </w:pPr>
            <w:r w:rsidRPr="00BC38B5">
              <w:rPr>
                <w:rFonts w:asciiTheme="minorHAnsi" w:hAnsiTheme="minorHAnsi" w:cstheme="minorHAnsi"/>
                <w:sz w:val="22"/>
                <w:szCs w:val="22"/>
              </w:rPr>
              <w:t>Development of Functional ultra-high stearic acid soybean germplasms </w:t>
            </w:r>
          </w:p>
        </w:tc>
      </w:tr>
      <w:tr w:rsidR="009D5AFE" w:rsidRPr="000C5A6C" w14:paraId="4755B614" w14:textId="77777777" w:rsidTr="009562EC">
        <w:tc>
          <w:tcPr>
            <w:tcW w:w="2700" w:type="dxa"/>
            <w:tcMar>
              <w:top w:w="43" w:type="dxa"/>
              <w:left w:w="0" w:type="dxa"/>
              <w:bottom w:w="43" w:type="dxa"/>
              <w:right w:w="0" w:type="dxa"/>
            </w:tcMar>
          </w:tcPr>
          <w:p w14:paraId="10DE68AF" w14:textId="77777777" w:rsidR="00335A26" w:rsidRPr="000C5A6C" w:rsidRDefault="00FF4F4F" w:rsidP="007E02DE">
            <w:pPr>
              <w:pStyle w:val="Heading2"/>
              <w:keepNext w:val="0"/>
              <w:numPr>
                <w:ilvl w:val="0"/>
                <w:numId w:val="0"/>
              </w:numPr>
              <w:spacing w:after="0"/>
              <w:ind w:left="576" w:hanging="576"/>
              <w:jc w:val="both"/>
              <w:rPr>
                <w:rFonts w:asciiTheme="minorHAnsi" w:hAnsiTheme="minorHAnsi" w:cstheme="minorHAnsi"/>
                <w:color w:val="auto"/>
                <w:sz w:val="22"/>
                <w:szCs w:val="22"/>
              </w:rPr>
            </w:pPr>
            <w:r w:rsidRPr="000C5A6C">
              <w:rPr>
                <w:rFonts w:asciiTheme="minorHAnsi" w:hAnsiTheme="minorHAnsi" w:cstheme="minorHAnsi"/>
                <w:color w:val="auto"/>
                <w:sz w:val="22"/>
                <w:szCs w:val="22"/>
              </w:rPr>
              <w:t>Organization</w:t>
            </w:r>
            <w:r w:rsidR="00335A26" w:rsidRPr="000C5A6C">
              <w:rPr>
                <w:rFonts w:asciiTheme="minorHAnsi" w:hAnsiTheme="minorHAnsi" w:cstheme="minorHAnsi"/>
                <w:color w:val="auto"/>
                <w:sz w:val="22"/>
                <w:szCs w:val="22"/>
              </w:rPr>
              <w:t xml:space="preserve">: </w:t>
            </w:r>
          </w:p>
        </w:tc>
        <w:tc>
          <w:tcPr>
            <w:tcW w:w="7020" w:type="dxa"/>
            <w:tcMar>
              <w:top w:w="43" w:type="dxa"/>
              <w:left w:w="0" w:type="dxa"/>
              <w:bottom w:w="43" w:type="dxa"/>
              <w:right w:w="0" w:type="dxa"/>
            </w:tcMar>
          </w:tcPr>
          <w:p w14:paraId="3F62AB62" w14:textId="33AB8D6F" w:rsidR="00335A26" w:rsidRPr="000C5A6C" w:rsidRDefault="00BC38B5" w:rsidP="007E02DE">
            <w:pPr>
              <w:spacing w:line="240" w:lineRule="auto"/>
              <w:jc w:val="both"/>
              <w:rPr>
                <w:rFonts w:asciiTheme="minorHAnsi" w:hAnsiTheme="minorHAnsi" w:cstheme="minorHAnsi"/>
                <w:sz w:val="22"/>
                <w:szCs w:val="22"/>
              </w:rPr>
            </w:pPr>
            <w:r>
              <w:rPr>
                <w:rFonts w:asciiTheme="minorHAnsi" w:hAnsiTheme="minorHAnsi" w:cstheme="minorHAnsi"/>
                <w:sz w:val="22"/>
                <w:szCs w:val="22"/>
              </w:rPr>
              <w:t>University of Missouri</w:t>
            </w:r>
          </w:p>
        </w:tc>
      </w:tr>
      <w:tr w:rsidR="009D5AFE" w:rsidRPr="000C5A6C" w14:paraId="1FD5D2B7" w14:textId="77777777" w:rsidTr="009562EC">
        <w:tc>
          <w:tcPr>
            <w:tcW w:w="2700" w:type="dxa"/>
            <w:tcMar>
              <w:top w:w="43" w:type="dxa"/>
              <w:left w:w="0" w:type="dxa"/>
              <w:bottom w:w="43" w:type="dxa"/>
              <w:right w:w="0" w:type="dxa"/>
            </w:tcMar>
          </w:tcPr>
          <w:p w14:paraId="3E36F130" w14:textId="77777777" w:rsidR="00335A26" w:rsidRPr="000C5A6C" w:rsidRDefault="008457BA" w:rsidP="007E02DE">
            <w:pPr>
              <w:pStyle w:val="Heading2"/>
              <w:keepNext w:val="0"/>
              <w:numPr>
                <w:ilvl w:val="0"/>
                <w:numId w:val="0"/>
              </w:numPr>
              <w:spacing w:after="0"/>
              <w:ind w:left="576" w:hanging="576"/>
              <w:jc w:val="both"/>
              <w:rPr>
                <w:rFonts w:asciiTheme="minorHAnsi" w:hAnsiTheme="minorHAnsi" w:cstheme="minorHAnsi"/>
                <w:i/>
                <w:color w:val="auto"/>
                <w:sz w:val="22"/>
                <w:szCs w:val="22"/>
              </w:rPr>
            </w:pPr>
            <w:r w:rsidRPr="000C5A6C">
              <w:rPr>
                <w:rFonts w:asciiTheme="minorHAnsi" w:hAnsiTheme="minorHAnsi" w:cstheme="minorHAnsi"/>
                <w:color w:val="auto"/>
                <w:sz w:val="22"/>
                <w:szCs w:val="22"/>
              </w:rPr>
              <w:t>Project</w:t>
            </w:r>
            <w:r w:rsidR="00FF4F4F" w:rsidRPr="000C5A6C">
              <w:rPr>
                <w:rFonts w:asciiTheme="minorHAnsi" w:hAnsiTheme="minorHAnsi" w:cstheme="minorHAnsi"/>
                <w:color w:val="auto"/>
                <w:sz w:val="22"/>
                <w:szCs w:val="22"/>
              </w:rPr>
              <w:t xml:space="preserve"> </w:t>
            </w:r>
            <w:r w:rsidRPr="000C5A6C">
              <w:rPr>
                <w:rFonts w:asciiTheme="minorHAnsi" w:hAnsiTheme="minorHAnsi" w:cstheme="minorHAnsi"/>
                <w:color w:val="auto"/>
                <w:sz w:val="22"/>
                <w:szCs w:val="22"/>
              </w:rPr>
              <w:t>Lead</w:t>
            </w:r>
            <w:r w:rsidR="00FF4F4F" w:rsidRPr="000C5A6C">
              <w:rPr>
                <w:rFonts w:asciiTheme="minorHAnsi" w:hAnsiTheme="minorHAnsi" w:cstheme="minorHAnsi"/>
                <w:color w:val="auto"/>
                <w:sz w:val="22"/>
                <w:szCs w:val="22"/>
              </w:rPr>
              <w:t xml:space="preserve"> Name:</w:t>
            </w:r>
          </w:p>
        </w:tc>
        <w:tc>
          <w:tcPr>
            <w:tcW w:w="7020" w:type="dxa"/>
            <w:tcMar>
              <w:top w:w="43" w:type="dxa"/>
              <w:left w:w="0" w:type="dxa"/>
              <w:bottom w:w="43" w:type="dxa"/>
              <w:right w:w="0" w:type="dxa"/>
            </w:tcMar>
          </w:tcPr>
          <w:p w14:paraId="5CCF82B2" w14:textId="28E1EC7A" w:rsidR="00335A26" w:rsidRPr="000C5A6C" w:rsidRDefault="00BC38B5" w:rsidP="007E02DE">
            <w:pPr>
              <w:spacing w:line="240" w:lineRule="auto"/>
              <w:jc w:val="both"/>
              <w:rPr>
                <w:rFonts w:asciiTheme="minorHAnsi" w:hAnsiTheme="minorHAnsi" w:cstheme="minorHAnsi"/>
                <w:sz w:val="22"/>
                <w:szCs w:val="22"/>
              </w:rPr>
            </w:pPr>
            <w:r>
              <w:rPr>
                <w:rFonts w:asciiTheme="minorHAnsi" w:hAnsiTheme="minorHAnsi" w:cstheme="minorHAnsi"/>
                <w:sz w:val="22"/>
                <w:szCs w:val="22"/>
              </w:rPr>
              <w:t>Feng Lin, PhD</w:t>
            </w:r>
          </w:p>
        </w:tc>
      </w:tr>
      <w:tr w:rsidR="00B7577C" w:rsidRPr="000C5A6C" w14:paraId="4B81E764" w14:textId="77777777" w:rsidTr="009562EC">
        <w:tc>
          <w:tcPr>
            <w:tcW w:w="2700" w:type="dxa"/>
            <w:tcMar>
              <w:top w:w="43" w:type="dxa"/>
              <w:left w:w="0" w:type="dxa"/>
              <w:bottom w:w="43" w:type="dxa"/>
              <w:right w:w="0" w:type="dxa"/>
            </w:tcMar>
          </w:tcPr>
          <w:p w14:paraId="58C14EA5" w14:textId="77777777" w:rsidR="00B7577C" w:rsidRDefault="007C520F" w:rsidP="007E02DE">
            <w:pPr>
              <w:pStyle w:val="Heading2"/>
              <w:keepNext w:val="0"/>
              <w:numPr>
                <w:ilvl w:val="0"/>
                <w:numId w:val="0"/>
              </w:numPr>
              <w:spacing w:after="0"/>
              <w:ind w:left="576" w:hanging="576"/>
              <w:jc w:val="both"/>
              <w:rPr>
                <w:rFonts w:asciiTheme="minorHAnsi" w:hAnsiTheme="minorHAnsi" w:cstheme="minorHAnsi"/>
                <w:color w:val="auto"/>
                <w:sz w:val="22"/>
                <w:szCs w:val="22"/>
              </w:rPr>
            </w:pPr>
            <w:r w:rsidRPr="000C5A6C">
              <w:rPr>
                <w:rFonts w:asciiTheme="minorHAnsi" w:hAnsiTheme="minorHAnsi" w:cstheme="minorHAnsi"/>
                <w:color w:val="auto"/>
                <w:sz w:val="22"/>
                <w:szCs w:val="22"/>
              </w:rPr>
              <w:t>Report</w:t>
            </w:r>
            <w:r w:rsidR="009F601E" w:rsidRPr="000C5A6C">
              <w:rPr>
                <w:rFonts w:asciiTheme="minorHAnsi" w:hAnsiTheme="minorHAnsi" w:cstheme="minorHAnsi"/>
                <w:color w:val="auto"/>
                <w:sz w:val="22"/>
                <w:szCs w:val="22"/>
              </w:rPr>
              <w:t>ing Period</w:t>
            </w:r>
            <w:r w:rsidR="00B7577C" w:rsidRPr="000C5A6C">
              <w:rPr>
                <w:rFonts w:asciiTheme="minorHAnsi" w:hAnsiTheme="minorHAnsi" w:cstheme="minorHAnsi"/>
                <w:color w:val="auto"/>
                <w:sz w:val="22"/>
                <w:szCs w:val="22"/>
              </w:rPr>
              <w:t>:</w:t>
            </w:r>
          </w:p>
          <w:p w14:paraId="6901671B" w14:textId="6CF57560" w:rsidR="00510149" w:rsidRPr="00510149" w:rsidRDefault="00510149" w:rsidP="007E02DE">
            <w:pPr>
              <w:jc w:val="both"/>
              <w:rPr>
                <w:i/>
                <w:iCs/>
              </w:rPr>
            </w:pPr>
            <w:r w:rsidRPr="00510149">
              <w:rPr>
                <w:i/>
                <w:iCs/>
              </w:rPr>
              <w:t>Please select the appropriate reporting period</w:t>
            </w:r>
            <w:r w:rsidR="000D7378">
              <w:rPr>
                <w:i/>
                <w:iCs/>
              </w:rPr>
              <w:t xml:space="preserve"> for this report</w:t>
            </w:r>
            <w:r w:rsidR="00D436C4">
              <w:rPr>
                <w:i/>
                <w:iCs/>
              </w:rPr>
              <w:t>.</w:t>
            </w:r>
          </w:p>
        </w:tc>
        <w:tc>
          <w:tcPr>
            <w:tcW w:w="7020" w:type="dxa"/>
            <w:tcMar>
              <w:top w:w="43" w:type="dxa"/>
              <w:left w:w="0" w:type="dxa"/>
              <w:bottom w:w="43" w:type="dxa"/>
              <w:right w:w="0" w:type="dxa"/>
            </w:tcMar>
          </w:tcPr>
          <w:p w14:paraId="75DD7296" w14:textId="695C8683" w:rsidR="00F97A67" w:rsidRPr="000C5A6C" w:rsidRDefault="00F97A67" w:rsidP="007E02DE">
            <w:pPr>
              <w:spacing w:line="240" w:lineRule="auto"/>
              <w:jc w:val="both"/>
              <w:rPr>
                <w:rFonts w:asciiTheme="minorHAnsi" w:hAnsiTheme="minorHAnsi" w:cstheme="minorHAnsi"/>
                <w:sz w:val="22"/>
                <w:szCs w:val="22"/>
              </w:rPr>
            </w:pPr>
            <w:r w:rsidRPr="000C5A6C">
              <w:rPr>
                <w:rFonts w:asciiTheme="minorHAnsi" w:hAnsiTheme="minorHAnsi" w:cstheme="minorHAnsi"/>
                <w:sz w:val="22"/>
                <w:szCs w:val="22"/>
              </w:rPr>
              <w:t xml:space="preserve">  </w:t>
            </w:r>
            <w:r w:rsidR="000D7378">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1091743573"/>
                <w14:checkbox>
                  <w14:checked w14:val="1"/>
                  <w14:checkedState w14:val="2612" w14:font="MS Gothic"/>
                  <w14:uncheckedState w14:val="2610" w14:font="MS Gothic"/>
                </w14:checkbox>
              </w:sdtPr>
              <w:sdtEndPr/>
              <w:sdtContent>
                <w:r w:rsidR="00BC38B5">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w:t>
            </w:r>
            <w:r w:rsidR="009F601E" w:rsidRPr="000C5A6C">
              <w:rPr>
                <w:rFonts w:asciiTheme="minorHAnsi" w:hAnsiTheme="minorHAnsi" w:cstheme="minorHAnsi"/>
                <w:sz w:val="22"/>
                <w:szCs w:val="22"/>
              </w:rPr>
              <w:t>December</w:t>
            </w:r>
            <w:r w:rsidRPr="000C5A6C">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1135224894"/>
                <w14:checkbox>
                  <w14:checked w14:val="0"/>
                  <w14:checkedState w14:val="2612" w14:font="MS Gothic"/>
                  <w14:uncheckedState w14:val="2610" w14:font="MS Gothic"/>
                </w14:checkbox>
              </w:sdtPr>
              <w:sdtEnd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March</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485778626"/>
                <w14:checkbox>
                  <w14:checked w14:val="0"/>
                  <w14:checkedState w14:val="2612" w14:font="MS Gothic"/>
                  <w14:uncheckedState w14:val="2610" w14:font="MS Gothic"/>
                </w14:checkbox>
              </w:sdtPr>
              <w:sdtEnd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June</w:t>
            </w:r>
            <w:r w:rsidRPr="000C5A6C">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471030118"/>
                <w14:checkbox>
                  <w14:checked w14:val="0"/>
                  <w14:checkedState w14:val="2612" w14:font="MS Gothic"/>
                  <w14:uncheckedState w14:val="2610" w14:font="MS Gothic"/>
                </w14:checkbox>
              </w:sdtPr>
              <w:sdtEnd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September</w:t>
            </w:r>
            <w:r w:rsidRPr="000C5A6C">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r w:rsidR="00AE6500">
              <w:rPr>
                <w:rFonts w:asciiTheme="minorHAnsi" w:hAnsiTheme="minorHAnsi" w:cstheme="minorHAnsi"/>
                <w:sz w:val="22"/>
                <w:szCs w:val="22"/>
              </w:rPr>
              <w:t xml:space="preserve"> </w:t>
            </w:r>
            <w:sdt>
              <w:sdtPr>
                <w:rPr>
                  <w:rFonts w:asciiTheme="minorHAnsi" w:hAnsiTheme="minorHAnsi" w:cstheme="minorHAnsi"/>
                  <w:sz w:val="22"/>
                  <w:szCs w:val="22"/>
                </w:rPr>
                <w:id w:val="-402682564"/>
                <w14:checkbox>
                  <w14:checked w14:val="0"/>
                  <w14:checkedState w14:val="2612" w14:font="MS Gothic"/>
                  <w14:uncheckedState w14:val="2610" w14:font="MS Gothic"/>
                </w14:checkbox>
              </w:sdtPr>
              <w:sdtEnd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Final</w:t>
            </w:r>
          </w:p>
        </w:tc>
      </w:tr>
      <w:tr w:rsidR="00AC69AD" w:rsidRPr="00624140" w14:paraId="4BB3D17A" w14:textId="77777777" w:rsidTr="00DA7C6D">
        <w:trPr>
          <w:trHeight w:val="1684"/>
        </w:trPr>
        <w:tc>
          <w:tcPr>
            <w:tcW w:w="9720" w:type="dxa"/>
            <w:gridSpan w:val="2"/>
            <w:shd w:val="clear" w:color="auto" w:fill="F2F2F2" w:themeFill="background1" w:themeFillShade="F2"/>
            <w:tcMar>
              <w:top w:w="43" w:type="dxa"/>
              <w:left w:w="0" w:type="dxa"/>
              <w:bottom w:w="43" w:type="dxa"/>
              <w:right w:w="0" w:type="dxa"/>
            </w:tcMar>
          </w:tcPr>
          <w:p w14:paraId="6A4575F4" w14:textId="6E0EBFC0" w:rsidR="009F601E" w:rsidRPr="000D654B" w:rsidRDefault="008934FD" w:rsidP="007E02DE">
            <w:pPr>
              <w:pStyle w:val="Heading2"/>
              <w:numPr>
                <w:ilvl w:val="0"/>
                <w:numId w:val="0"/>
              </w:numPr>
              <w:spacing w:after="0"/>
              <w:jc w:val="both"/>
              <w:rPr>
                <w:rFonts w:asciiTheme="minorHAnsi" w:hAnsiTheme="minorHAnsi" w:cstheme="minorHAnsi"/>
                <w:b w:val="0"/>
                <w:bCs w:val="0"/>
                <w:color w:val="auto"/>
                <w:szCs w:val="22"/>
              </w:rPr>
            </w:pPr>
            <w:r w:rsidRPr="000D654B">
              <w:rPr>
                <w:rFonts w:asciiTheme="minorHAnsi" w:hAnsiTheme="minorHAnsi" w:cstheme="minorHAnsi"/>
                <w:b w:val="0"/>
                <w:bCs w:val="0"/>
                <w:szCs w:val="22"/>
              </w:rPr>
              <w:t>The information included in this detailed report should reflect quantifiable results that can be used to evaluate and measure project success.</w:t>
            </w:r>
          </w:p>
          <w:p w14:paraId="00C6504A" w14:textId="535162DF" w:rsidR="00AC69AD" w:rsidRPr="00624140" w:rsidRDefault="009F601E" w:rsidP="007E02DE">
            <w:pPr>
              <w:pStyle w:val="Heading2"/>
              <w:numPr>
                <w:ilvl w:val="0"/>
                <w:numId w:val="0"/>
              </w:numPr>
              <w:spacing w:after="0"/>
              <w:jc w:val="both"/>
              <w:rPr>
                <w:rFonts w:asciiTheme="minorHAnsi" w:hAnsiTheme="minorHAnsi" w:cstheme="minorHAnsi"/>
                <w:b w:val="0"/>
                <w:szCs w:val="22"/>
              </w:rPr>
            </w:pPr>
            <w:r w:rsidRPr="00624140">
              <w:rPr>
                <w:rFonts w:asciiTheme="minorHAnsi" w:hAnsiTheme="minorHAnsi" w:cstheme="minorHAnsi"/>
                <w:color w:val="auto"/>
                <w:szCs w:val="22"/>
              </w:rPr>
              <w:t>If Progress</w:t>
            </w:r>
            <w:r w:rsidR="00D82056" w:rsidRPr="00624140">
              <w:rPr>
                <w:rFonts w:asciiTheme="minorHAnsi" w:hAnsiTheme="minorHAnsi" w:cstheme="minorHAnsi"/>
                <w:color w:val="auto"/>
                <w:szCs w:val="22"/>
              </w:rPr>
              <w:t xml:space="preserve"> </w:t>
            </w:r>
            <w:r w:rsidR="000205CE" w:rsidRPr="00624140">
              <w:rPr>
                <w:rFonts w:asciiTheme="minorHAnsi" w:hAnsiTheme="minorHAnsi" w:cstheme="minorHAnsi"/>
                <w:color w:val="auto"/>
                <w:szCs w:val="22"/>
              </w:rPr>
              <w:t>Report</w:t>
            </w:r>
            <w:r w:rsidR="00D82056" w:rsidRPr="00624140">
              <w:rPr>
                <w:rFonts w:asciiTheme="minorHAnsi" w:hAnsiTheme="minorHAnsi" w:cstheme="minorHAnsi"/>
                <w:color w:val="auto"/>
                <w:szCs w:val="22"/>
              </w:rPr>
              <w:t xml:space="preserve"> –</w:t>
            </w:r>
            <w:r w:rsidRPr="00624140">
              <w:rPr>
                <w:rFonts w:asciiTheme="minorHAnsi" w:hAnsiTheme="minorHAnsi" w:cstheme="minorHAnsi"/>
                <w:color w:val="auto"/>
                <w:szCs w:val="22"/>
              </w:rPr>
              <w:t xml:space="preserve"> </w:t>
            </w:r>
            <w:r w:rsidR="00D82056" w:rsidRPr="00624140">
              <w:rPr>
                <w:rFonts w:asciiTheme="minorHAnsi" w:hAnsiTheme="minorHAnsi" w:cstheme="minorHAnsi"/>
                <w:b w:val="0"/>
                <w:color w:val="auto"/>
                <w:szCs w:val="22"/>
              </w:rPr>
              <w:t xml:space="preserve">What key activities were undertaken and what were the key accomplishments during this reporting period?  </w:t>
            </w:r>
            <w:r w:rsidR="00B9516B" w:rsidRPr="00624140">
              <w:rPr>
                <w:rFonts w:asciiTheme="minorHAnsi" w:hAnsiTheme="minorHAnsi" w:cstheme="minorHAnsi"/>
                <w:b w:val="0"/>
                <w:szCs w:val="22"/>
              </w:rPr>
              <w:t>List each key deliverable from the proposal and describe progress made (or not made) toward achieving it, including metrics were appropriate.</w:t>
            </w:r>
          </w:p>
          <w:p w14:paraId="0573EF66" w14:textId="6FB69E64" w:rsidR="009F601E" w:rsidRPr="00624140" w:rsidRDefault="009F601E" w:rsidP="007E02DE">
            <w:pPr>
              <w:pStyle w:val="Heading2"/>
              <w:numPr>
                <w:ilvl w:val="0"/>
                <w:numId w:val="0"/>
              </w:numPr>
              <w:spacing w:after="0"/>
              <w:jc w:val="both"/>
              <w:rPr>
                <w:szCs w:val="22"/>
              </w:rPr>
            </w:pPr>
            <w:r w:rsidRPr="00624140">
              <w:rPr>
                <w:rFonts w:asciiTheme="minorHAnsi" w:hAnsiTheme="minorHAnsi" w:cstheme="minorHAnsi"/>
                <w:bCs w:val="0"/>
                <w:szCs w:val="22"/>
              </w:rPr>
              <w:t xml:space="preserve">If Final </w:t>
            </w:r>
            <w:r w:rsidR="000205CE" w:rsidRPr="00624140">
              <w:rPr>
                <w:rFonts w:asciiTheme="minorHAnsi" w:hAnsiTheme="minorHAnsi" w:cstheme="minorHAnsi"/>
                <w:bCs w:val="0"/>
                <w:szCs w:val="22"/>
              </w:rPr>
              <w:t>Report</w:t>
            </w:r>
            <w:r w:rsidRPr="00624140">
              <w:rPr>
                <w:rFonts w:asciiTheme="minorHAnsi" w:hAnsiTheme="minorHAnsi" w:cstheme="minorHAnsi"/>
                <w:b w:val="0"/>
                <w:szCs w:val="22"/>
              </w:rPr>
              <w:t xml:space="preserve"> – What were the key accomplishments during the life of the project?  List each deliverable from the proposal and describe progress made (or not made) toward achieving it, including metrics where appropriate.</w:t>
            </w:r>
          </w:p>
        </w:tc>
      </w:tr>
      <w:tr w:rsidR="00F97A67" w:rsidRPr="003507CA" w14:paraId="49318F26" w14:textId="77777777" w:rsidTr="00DA7C6D">
        <w:trPr>
          <w:trHeight w:val="6544"/>
        </w:trPr>
        <w:tc>
          <w:tcPr>
            <w:tcW w:w="9720" w:type="dxa"/>
            <w:gridSpan w:val="2"/>
            <w:shd w:val="clear" w:color="auto" w:fill="auto"/>
            <w:tcMar>
              <w:top w:w="43" w:type="dxa"/>
              <w:left w:w="0" w:type="dxa"/>
              <w:bottom w:w="43" w:type="dxa"/>
              <w:right w:w="0" w:type="dxa"/>
            </w:tcMar>
          </w:tcPr>
          <w:p w14:paraId="3299FD71" w14:textId="77777777" w:rsidR="00F97A67" w:rsidRDefault="00F97A67" w:rsidP="007E02DE">
            <w:pPr>
              <w:jc w:val="both"/>
            </w:pPr>
          </w:p>
          <w:p w14:paraId="6E22EAED" w14:textId="77777777" w:rsidR="00F7507D" w:rsidRPr="00AF41D8" w:rsidRDefault="00F7507D" w:rsidP="007E02DE">
            <w:pPr>
              <w:jc w:val="both"/>
              <w:rPr>
                <w:rFonts w:asciiTheme="minorHAnsi" w:hAnsiTheme="minorHAnsi" w:cstheme="minorHAnsi"/>
                <w:sz w:val="22"/>
                <w:szCs w:val="22"/>
              </w:rPr>
            </w:pPr>
            <w:r w:rsidRPr="00AF41D8">
              <w:rPr>
                <w:rFonts w:asciiTheme="minorHAnsi" w:hAnsiTheme="minorHAnsi" w:cstheme="minorHAnsi"/>
                <w:sz w:val="22"/>
                <w:szCs w:val="22"/>
              </w:rPr>
              <w:t>Our team is actively engaged in the development of high-yielding lines, with elevated levels of high stearic acid content.</w:t>
            </w:r>
          </w:p>
          <w:p w14:paraId="0231CFB1" w14:textId="77777777" w:rsidR="00F7507D" w:rsidRPr="00AF41D8" w:rsidRDefault="00F7507D" w:rsidP="007E02DE">
            <w:pPr>
              <w:jc w:val="both"/>
              <w:rPr>
                <w:rFonts w:asciiTheme="minorHAnsi" w:hAnsiTheme="minorHAnsi" w:cstheme="minorHAnsi"/>
                <w:sz w:val="22"/>
                <w:szCs w:val="22"/>
              </w:rPr>
            </w:pPr>
          </w:p>
          <w:p w14:paraId="3FBDCABB" w14:textId="6DCDFFD3" w:rsidR="00F7507D" w:rsidRPr="00AF41D8" w:rsidRDefault="00F7507D" w:rsidP="007E02DE">
            <w:pPr>
              <w:jc w:val="both"/>
              <w:rPr>
                <w:rFonts w:asciiTheme="minorHAnsi" w:hAnsiTheme="minorHAnsi" w:cstheme="minorHAnsi"/>
                <w:b/>
                <w:bCs w:val="0"/>
                <w:sz w:val="22"/>
                <w:szCs w:val="22"/>
              </w:rPr>
            </w:pPr>
            <w:r w:rsidRPr="00AF41D8">
              <w:rPr>
                <w:rFonts w:asciiTheme="minorHAnsi" w:hAnsiTheme="minorHAnsi" w:cstheme="minorHAnsi"/>
                <w:b/>
                <w:bCs w:val="0"/>
                <w:sz w:val="22"/>
                <w:szCs w:val="22"/>
              </w:rPr>
              <w:t>2024 AYT.</w:t>
            </w:r>
            <w:r w:rsidR="007E02DE" w:rsidRPr="00AF41D8">
              <w:rPr>
                <w:rFonts w:asciiTheme="minorHAnsi" w:hAnsiTheme="minorHAnsi" w:cstheme="minorHAnsi"/>
                <w:b/>
                <w:bCs w:val="0"/>
                <w:sz w:val="22"/>
                <w:szCs w:val="22"/>
              </w:rPr>
              <w:t xml:space="preserve"> </w:t>
            </w:r>
            <w:r w:rsidR="00DE1B8D" w:rsidRPr="00AF41D8">
              <w:rPr>
                <w:rFonts w:asciiTheme="minorHAnsi" w:hAnsiTheme="minorHAnsi" w:cstheme="minorHAnsi"/>
                <w:bCs w:val="0"/>
                <w:sz w:val="22"/>
                <w:szCs w:val="22"/>
              </w:rPr>
              <w:t>One</w:t>
            </w:r>
            <w:r w:rsidR="007E02DE" w:rsidRPr="00AF41D8">
              <w:rPr>
                <w:rFonts w:asciiTheme="minorHAnsi" w:hAnsiTheme="minorHAnsi" w:cstheme="minorHAnsi"/>
                <w:sz w:val="22"/>
                <w:szCs w:val="22"/>
              </w:rPr>
              <w:t xml:space="preserve"> advanced breeding line</w:t>
            </w:r>
            <w:r w:rsidR="00DE1B8D" w:rsidRPr="00AF41D8">
              <w:rPr>
                <w:rFonts w:asciiTheme="minorHAnsi" w:hAnsiTheme="minorHAnsi" w:cstheme="minorHAnsi"/>
                <w:sz w:val="22"/>
                <w:szCs w:val="22"/>
              </w:rPr>
              <w:t>, S22-23421HS,</w:t>
            </w:r>
            <w:r w:rsidR="007E02DE" w:rsidRPr="00AF41D8">
              <w:rPr>
                <w:rFonts w:asciiTheme="minorHAnsi" w:hAnsiTheme="minorHAnsi" w:cstheme="minorHAnsi"/>
                <w:sz w:val="22"/>
                <w:szCs w:val="22"/>
              </w:rPr>
              <w:t xml:space="preserve"> was entered in the 2024 advanced yield tria</w:t>
            </w:r>
            <w:r w:rsidR="00DE1B8D" w:rsidRPr="00AF41D8">
              <w:rPr>
                <w:rFonts w:asciiTheme="minorHAnsi" w:hAnsiTheme="minorHAnsi" w:cstheme="minorHAnsi"/>
                <w:sz w:val="22"/>
                <w:szCs w:val="22"/>
              </w:rPr>
              <w:t>l</w:t>
            </w:r>
            <w:r w:rsidR="007E02DE" w:rsidRPr="00AF41D8">
              <w:rPr>
                <w:rFonts w:asciiTheme="minorHAnsi" w:hAnsiTheme="minorHAnsi" w:cstheme="minorHAnsi"/>
                <w:sz w:val="22"/>
                <w:szCs w:val="22"/>
              </w:rPr>
              <w:t xml:space="preserve"> and will </w:t>
            </w:r>
            <w:r w:rsidR="00F9685D">
              <w:rPr>
                <w:rFonts w:asciiTheme="minorHAnsi" w:hAnsiTheme="minorHAnsi" w:cstheme="minorHAnsi"/>
                <w:sz w:val="22"/>
                <w:szCs w:val="22"/>
              </w:rPr>
              <w:t xml:space="preserve">be </w:t>
            </w:r>
            <w:r w:rsidR="007E02DE" w:rsidRPr="00AF41D8">
              <w:rPr>
                <w:rFonts w:asciiTheme="minorHAnsi" w:hAnsiTheme="minorHAnsi" w:cstheme="minorHAnsi"/>
                <w:sz w:val="22"/>
                <w:szCs w:val="22"/>
              </w:rPr>
              <w:t>advance</w:t>
            </w:r>
            <w:r w:rsidR="00F9685D">
              <w:rPr>
                <w:rFonts w:asciiTheme="minorHAnsi" w:hAnsiTheme="minorHAnsi" w:cstheme="minorHAnsi"/>
                <w:sz w:val="22"/>
                <w:szCs w:val="22"/>
              </w:rPr>
              <w:t>d</w:t>
            </w:r>
            <w:r w:rsidR="007E02DE" w:rsidRPr="00AF41D8">
              <w:rPr>
                <w:rFonts w:asciiTheme="minorHAnsi" w:hAnsiTheme="minorHAnsi" w:cstheme="minorHAnsi"/>
                <w:sz w:val="22"/>
                <w:szCs w:val="22"/>
              </w:rPr>
              <w:t xml:space="preserve"> to the </w:t>
            </w:r>
            <w:r w:rsidR="00F9685D" w:rsidRPr="00AF41D8">
              <w:rPr>
                <w:rFonts w:asciiTheme="minorHAnsi" w:hAnsiTheme="minorHAnsi" w:cstheme="minorHAnsi"/>
                <w:sz w:val="22"/>
                <w:szCs w:val="22"/>
              </w:rPr>
              <w:t>regional</w:t>
            </w:r>
            <w:r w:rsidR="007E02DE" w:rsidRPr="00AF41D8">
              <w:rPr>
                <w:rFonts w:asciiTheme="minorHAnsi" w:hAnsiTheme="minorHAnsi" w:cstheme="minorHAnsi"/>
                <w:sz w:val="22"/>
                <w:szCs w:val="22"/>
              </w:rPr>
              <w:t xml:space="preserve"> trial</w:t>
            </w:r>
            <w:r w:rsidR="00F9685D">
              <w:rPr>
                <w:rFonts w:asciiTheme="minorHAnsi" w:hAnsiTheme="minorHAnsi" w:cstheme="minorHAnsi"/>
                <w:sz w:val="22"/>
                <w:szCs w:val="22"/>
              </w:rPr>
              <w:t xml:space="preserve"> in 2025</w:t>
            </w:r>
            <w:r w:rsidR="00DE1B8D" w:rsidRPr="00AF41D8">
              <w:rPr>
                <w:rFonts w:asciiTheme="minorHAnsi" w:hAnsiTheme="minorHAnsi" w:cstheme="minorHAnsi"/>
                <w:sz w:val="22"/>
                <w:szCs w:val="22"/>
              </w:rPr>
              <w:t xml:space="preserve">. The fatty acid content of this line will be analyzed </w:t>
            </w:r>
            <w:r w:rsidR="006C524E">
              <w:rPr>
                <w:rFonts w:asciiTheme="minorHAnsi" w:hAnsiTheme="minorHAnsi" w:cstheme="minorHAnsi"/>
                <w:sz w:val="22"/>
                <w:szCs w:val="22"/>
              </w:rPr>
              <w:t>for validation</w:t>
            </w:r>
            <w:r w:rsidR="00DE1B8D" w:rsidRPr="00AF41D8">
              <w:rPr>
                <w:rFonts w:asciiTheme="minorHAnsi" w:hAnsiTheme="minorHAnsi" w:cstheme="minorHAnsi"/>
                <w:sz w:val="22"/>
                <w:szCs w:val="22"/>
              </w:rPr>
              <w:t xml:space="preserve">. </w:t>
            </w:r>
          </w:p>
          <w:p w14:paraId="6729BE4B" w14:textId="77777777" w:rsidR="00F7507D" w:rsidRPr="00AF41D8" w:rsidRDefault="00F7507D" w:rsidP="007E02DE">
            <w:pPr>
              <w:jc w:val="both"/>
              <w:rPr>
                <w:rFonts w:asciiTheme="minorHAnsi" w:hAnsiTheme="minorHAnsi" w:cstheme="minorHAnsi"/>
                <w:b/>
                <w:bCs w:val="0"/>
                <w:sz w:val="22"/>
                <w:szCs w:val="22"/>
              </w:rPr>
            </w:pPr>
          </w:p>
          <w:p w14:paraId="13F80F0E" w14:textId="225638D5" w:rsidR="00F9685D" w:rsidRPr="00CA767D" w:rsidRDefault="00F7507D" w:rsidP="00F9685D">
            <w:pPr>
              <w:spacing w:line="240" w:lineRule="auto"/>
              <w:jc w:val="both"/>
              <w:rPr>
                <w:rFonts w:asciiTheme="minorHAnsi" w:hAnsiTheme="minorHAnsi" w:cstheme="minorHAnsi"/>
                <w:sz w:val="22"/>
                <w:szCs w:val="22"/>
              </w:rPr>
            </w:pPr>
            <w:r w:rsidRPr="00AF41D8">
              <w:rPr>
                <w:rFonts w:asciiTheme="minorHAnsi" w:hAnsiTheme="minorHAnsi" w:cstheme="minorHAnsi"/>
                <w:b/>
                <w:bCs w:val="0"/>
                <w:sz w:val="22"/>
                <w:szCs w:val="22"/>
              </w:rPr>
              <w:t>2024 PYT.</w:t>
            </w:r>
            <w:r w:rsidR="007E02DE" w:rsidRPr="00AF41D8">
              <w:rPr>
                <w:rFonts w:asciiTheme="minorHAnsi" w:hAnsiTheme="minorHAnsi" w:cstheme="minorHAnsi"/>
                <w:sz w:val="22"/>
                <w:szCs w:val="22"/>
              </w:rPr>
              <w:t xml:space="preserve"> </w:t>
            </w:r>
            <w:r w:rsidR="00DE1B8D" w:rsidRPr="00AF41D8">
              <w:rPr>
                <w:rFonts w:asciiTheme="minorHAnsi" w:hAnsiTheme="minorHAnsi" w:cstheme="minorHAnsi"/>
                <w:sz w:val="22"/>
                <w:szCs w:val="22"/>
              </w:rPr>
              <w:t>Three</w:t>
            </w:r>
            <w:r w:rsidR="007E02DE" w:rsidRPr="00AF41D8">
              <w:rPr>
                <w:rFonts w:asciiTheme="minorHAnsi" w:hAnsiTheme="minorHAnsi" w:cstheme="minorHAnsi"/>
                <w:sz w:val="22"/>
                <w:szCs w:val="22"/>
              </w:rPr>
              <w:t xml:space="preserve"> preliminary breeding lines belonging to MG IV Early and MG IV Late were planted at Lee Farm, Portageville, MO.  Currently, data analysis is still </w:t>
            </w:r>
            <w:r w:rsidR="00F9685D" w:rsidRPr="00AF41D8">
              <w:rPr>
                <w:rFonts w:asciiTheme="minorHAnsi" w:hAnsiTheme="minorHAnsi" w:cstheme="minorHAnsi"/>
                <w:sz w:val="22"/>
                <w:szCs w:val="22"/>
              </w:rPr>
              <w:t>ongoing,</w:t>
            </w:r>
            <w:r w:rsidR="007E02DE" w:rsidRPr="00AF41D8">
              <w:rPr>
                <w:rFonts w:asciiTheme="minorHAnsi" w:hAnsiTheme="minorHAnsi" w:cstheme="minorHAnsi"/>
                <w:sz w:val="22"/>
                <w:szCs w:val="22"/>
              </w:rPr>
              <w:t xml:space="preserve"> and </w:t>
            </w:r>
            <w:r w:rsidR="00F9685D">
              <w:rPr>
                <w:rFonts w:asciiTheme="minorHAnsi" w:hAnsiTheme="minorHAnsi" w:cstheme="minorHAnsi"/>
                <w:sz w:val="22"/>
                <w:szCs w:val="22"/>
              </w:rPr>
              <w:t>the breeding lines identified for the stearic acid content and yield performance will be advanced to AYT in 2025.</w:t>
            </w:r>
          </w:p>
          <w:p w14:paraId="72CF9C5A" w14:textId="2E663FB7" w:rsidR="00F7507D" w:rsidRPr="00AF41D8" w:rsidRDefault="00F7507D" w:rsidP="007E02DE">
            <w:pPr>
              <w:jc w:val="both"/>
              <w:rPr>
                <w:rFonts w:asciiTheme="minorHAnsi" w:hAnsiTheme="minorHAnsi" w:cstheme="minorHAnsi"/>
                <w:b/>
                <w:bCs w:val="0"/>
                <w:sz w:val="22"/>
                <w:szCs w:val="22"/>
              </w:rPr>
            </w:pPr>
          </w:p>
          <w:p w14:paraId="68815DED" w14:textId="313BC035" w:rsidR="007E02DE" w:rsidRPr="00AF41D8" w:rsidRDefault="00F7507D" w:rsidP="007E02DE">
            <w:pPr>
              <w:jc w:val="both"/>
              <w:rPr>
                <w:rFonts w:asciiTheme="minorHAnsi" w:hAnsiTheme="minorHAnsi" w:cstheme="minorHAnsi"/>
                <w:sz w:val="22"/>
                <w:szCs w:val="22"/>
              </w:rPr>
            </w:pPr>
            <w:r w:rsidRPr="00AF41D8">
              <w:rPr>
                <w:rFonts w:asciiTheme="minorHAnsi" w:hAnsiTheme="minorHAnsi" w:cstheme="minorHAnsi"/>
                <w:b/>
                <w:bCs w:val="0"/>
                <w:sz w:val="22"/>
                <w:szCs w:val="22"/>
              </w:rPr>
              <w:t>2024 Progeny rows.</w:t>
            </w:r>
            <w:r w:rsidR="007E02DE" w:rsidRPr="00AF41D8">
              <w:rPr>
                <w:rFonts w:asciiTheme="minorHAnsi" w:hAnsiTheme="minorHAnsi" w:cstheme="minorHAnsi"/>
                <w:b/>
                <w:bCs w:val="0"/>
                <w:sz w:val="22"/>
                <w:szCs w:val="22"/>
              </w:rPr>
              <w:t xml:space="preserve"> </w:t>
            </w:r>
            <w:r w:rsidR="007E02DE" w:rsidRPr="00AF41D8">
              <w:rPr>
                <w:rFonts w:asciiTheme="minorHAnsi" w:hAnsiTheme="minorHAnsi" w:cstheme="minorHAnsi"/>
                <w:sz w:val="22"/>
                <w:szCs w:val="22"/>
              </w:rPr>
              <w:t xml:space="preserve">A total of </w:t>
            </w:r>
            <w:r w:rsidR="00BD1884" w:rsidRPr="00AF41D8">
              <w:rPr>
                <w:rFonts w:asciiTheme="minorHAnsi" w:hAnsiTheme="minorHAnsi" w:cstheme="minorHAnsi"/>
                <w:sz w:val="22"/>
                <w:szCs w:val="22"/>
              </w:rPr>
              <w:t>21</w:t>
            </w:r>
            <w:r w:rsidR="007E02DE" w:rsidRPr="00AF41D8">
              <w:rPr>
                <w:rFonts w:asciiTheme="minorHAnsi" w:hAnsiTheme="minorHAnsi" w:cstheme="minorHAnsi"/>
                <w:sz w:val="22"/>
                <w:szCs w:val="22"/>
              </w:rPr>
              <w:t xml:space="preserve"> breeding lines were selected from the progeny rows, considering their maturity and phenotypic characteristics. </w:t>
            </w:r>
            <w:r w:rsidR="00890C26" w:rsidRPr="00AF41D8">
              <w:rPr>
                <w:rFonts w:asciiTheme="minorHAnsi" w:hAnsiTheme="minorHAnsi" w:cstheme="minorHAnsi"/>
                <w:sz w:val="22"/>
                <w:szCs w:val="22"/>
              </w:rPr>
              <w:t xml:space="preserve">The selected breeding lines exhibit a stearic acid content that </w:t>
            </w:r>
            <w:r w:rsidR="007C736C" w:rsidRPr="00AF41D8">
              <w:rPr>
                <w:rFonts w:asciiTheme="minorHAnsi" w:hAnsiTheme="minorHAnsi" w:cstheme="minorHAnsi"/>
                <w:sz w:val="22"/>
                <w:szCs w:val="22"/>
              </w:rPr>
              <w:t>ranges from</w:t>
            </w:r>
            <w:r w:rsidR="00890C26" w:rsidRPr="00AF41D8">
              <w:rPr>
                <w:rFonts w:asciiTheme="minorHAnsi" w:hAnsiTheme="minorHAnsi" w:cstheme="minorHAnsi"/>
                <w:sz w:val="22"/>
                <w:szCs w:val="22"/>
              </w:rPr>
              <w:t xml:space="preserve"> 8.2%</w:t>
            </w:r>
            <w:r w:rsidR="007C736C" w:rsidRPr="00AF41D8">
              <w:rPr>
                <w:rFonts w:asciiTheme="minorHAnsi" w:hAnsiTheme="minorHAnsi" w:cstheme="minorHAnsi"/>
                <w:sz w:val="22"/>
                <w:szCs w:val="22"/>
              </w:rPr>
              <w:t xml:space="preserve"> -</w:t>
            </w:r>
            <w:r w:rsidR="00890C26" w:rsidRPr="00AF41D8">
              <w:rPr>
                <w:rFonts w:asciiTheme="minorHAnsi" w:hAnsiTheme="minorHAnsi" w:cstheme="minorHAnsi"/>
                <w:sz w:val="22"/>
                <w:szCs w:val="22"/>
              </w:rPr>
              <w:t xml:space="preserve"> 21.</w:t>
            </w:r>
            <w:r w:rsidR="00BD1884" w:rsidRPr="00AF41D8">
              <w:rPr>
                <w:rFonts w:asciiTheme="minorHAnsi" w:hAnsiTheme="minorHAnsi" w:cstheme="minorHAnsi"/>
                <w:sz w:val="22"/>
                <w:szCs w:val="22"/>
              </w:rPr>
              <w:t>9</w:t>
            </w:r>
            <w:r w:rsidR="00890C26" w:rsidRPr="00AF41D8">
              <w:rPr>
                <w:rFonts w:asciiTheme="minorHAnsi" w:hAnsiTheme="minorHAnsi" w:cstheme="minorHAnsi"/>
                <w:sz w:val="22"/>
                <w:szCs w:val="22"/>
              </w:rPr>
              <w:t xml:space="preserve">% </w:t>
            </w:r>
            <w:r w:rsidR="007E02DE" w:rsidRPr="00AF41D8">
              <w:rPr>
                <w:rFonts w:asciiTheme="minorHAnsi" w:hAnsiTheme="minorHAnsi" w:cstheme="minorHAnsi"/>
                <w:sz w:val="22"/>
                <w:szCs w:val="22"/>
              </w:rPr>
              <w:t xml:space="preserve">The selected breeding lines are set to be included </w:t>
            </w:r>
            <w:r w:rsidR="00F9685D">
              <w:rPr>
                <w:rFonts w:asciiTheme="minorHAnsi" w:hAnsiTheme="minorHAnsi" w:cstheme="minorHAnsi"/>
                <w:sz w:val="22"/>
                <w:szCs w:val="22"/>
              </w:rPr>
              <w:t>to PYT in 2025</w:t>
            </w:r>
            <w:r w:rsidR="007E02DE" w:rsidRPr="00AF41D8">
              <w:rPr>
                <w:rFonts w:asciiTheme="minorHAnsi" w:hAnsiTheme="minorHAnsi" w:cstheme="minorHAnsi"/>
                <w:sz w:val="22"/>
                <w:szCs w:val="22"/>
              </w:rPr>
              <w:t>.</w:t>
            </w:r>
          </w:p>
          <w:p w14:paraId="7E7E48AD" w14:textId="45FD4B5A" w:rsidR="00F7507D" w:rsidRPr="00AF41D8" w:rsidRDefault="00F7507D" w:rsidP="007E02DE">
            <w:pPr>
              <w:jc w:val="both"/>
              <w:rPr>
                <w:rFonts w:asciiTheme="minorHAnsi" w:hAnsiTheme="minorHAnsi" w:cstheme="minorHAnsi"/>
                <w:b/>
                <w:bCs w:val="0"/>
                <w:sz w:val="22"/>
                <w:szCs w:val="22"/>
              </w:rPr>
            </w:pPr>
          </w:p>
          <w:p w14:paraId="4B7AE767" w14:textId="62B8F024" w:rsidR="00F7507D" w:rsidRPr="00AF41D8" w:rsidRDefault="00F7507D" w:rsidP="007E02DE">
            <w:pPr>
              <w:jc w:val="both"/>
              <w:rPr>
                <w:rFonts w:asciiTheme="minorHAnsi" w:hAnsiTheme="minorHAnsi" w:cstheme="minorHAnsi"/>
                <w:b/>
                <w:bCs w:val="0"/>
                <w:sz w:val="22"/>
                <w:szCs w:val="22"/>
              </w:rPr>
            </w:pPr>
            <w:r w:rsidRPr="00AF41D8">
              <w:rPr>
                <w:rFonts w:asciiTheme="minorHAnsi" w:hAnsiTheme="minorHAnsi" w:cstheme="minorHAnsi"/>
                <w:b/>
                <w:bCs w:val="0"/>
                <w:sz w:val="22"/>
                <w:szCs w:val="22"/>
              </w:rPr>
              <w:t>2024 Population development.</w:t>
            </w:r>
            <w:r w:rsidR="007E02DE" w:rsidRPr="00AF41D8">
              <w:rPr>
                <w:rFonts w:asciiTheme="minorHAnsi" w:hAnsiTheme="minorHAnsi" w:cstheme="minorHAnsi"/>
                <w:sz w:val="22"/>
                <w:szCs w:val="22"/>
              </w:rPr>
              <w:t xml:space="preserve"> Four bi-parental populations for increasing stearic acid content were sent to the Costa Rica winter nursery for generation advancement from the F</w:t>
            </w:r>
            <w:r w:rsidR="007E02DE" w:rsidRPr="00AF41D8">
              <w:rPr>
                <w:rFonts w:asciiTheme="minorHAnsi" w:hAnsiTheme="minorHAnsi" w:cstheme="minorHAnsi"/>
                <w:sz w:val="22"/>
                <w:szCs w:val="22"/>
                <w:vertAlign w:val="subscript"/>
              </w:rPr>
              <w:t>1</w:t>
            </w:r>
            <w:r w:rsidR="007E02DE" w:rsidRPr="00AF41D8">
              <w:rPr>
                <w:rFonts w:asciiTheme="minorHAnsi" w:hAnsiTheme="minorHAnsi" w:cstheme="minorHAnsi"/>
                <w:sz w:val="22"/>
                <w:szCs w:val="22"/>
              </w:rPr>
              <w:t xml:space="preserve"> to the F</w:t>
            </w:r>
            <w:r w:rsidR="007E02DE" w:rsidRPr="00AF41D8">
              <w:rPr>
                <w:rFonts w:asciiTheme="minorHAnsi" w:hAnsiTheme="minorHAnsi" w:cstheme="minorHAnsi"/>
                <w:sz w:val="22"/>
                <w:szCs w:val="22"/>
                <w:vertAlign w:val="subscript"/>
              </w:rPr>
              <w:t>4</w:t>
            </w:r>
            <w:r w:rsidR="007E02DE" w:rsidRPr="00AF41D8">
              <w:rPr>
                <w:rFonts w:asciiTheme="minorHAnsi" w:hAnsiTheme="minorHAnsi" w:cstheme="minorHAnsi"/>
                <w:sz w:val="22"/>
                <w:szCs w:val="22"/>
              </w:rPr>
              <w:t xml:space="preserve"> generation and will be planted in our progeny rows in 2025 in Portageville, MO.</w:t>
            </w:r>
          </w:p>
          <w:p w14:paraId="02E3FB22" w14:textId="77777777" w:rsidR="00F7507D" w:rsidRPr="00AF41D8" w:rsidRDefault="00F7507D" w:rsidP="007E02DE">
            <w:pPr>
              <w:jc w:val="both"/>
              <w:rPr>
                <w:rFonts w:asciiTheme="minorHAnsi" w:hAnsiTheme="minorHAnsi" w:cstheme="minorHAnsi"/>
                <w:b/>
                <w:bCs w:val="0"/>
                <w:sz w:val="22"/>
                <w:szCs w:val="22"/>
              </w:rPr>
            </w:pPr>
          </w:p>
          <w:p w14:paraId="09D8326F" w14:textId="77777777" w:rsidR="007E02DE" w:rsidRPr="00AF41D8" w:rsidRDefault="00F7507D" w:rsidP="007E02DE">
            <w:pPr>
              <w:jc w:val="both"/>
              <w:rPr>
                <w:rFonts w:asciiTheme="minorHAnsi" w:hAnsiTheme="minorHAnsi" w:cstheme="minorHAnsi"/>
                <w:b/>
                <w:sz w:val="22"/>
                <w:szCs w:val="22"/>
              </w:rPr>
            </w:pPr>
            <w:r w:rsidRPr="00AF41D8">
              <w:rPr>
                <w:rFonts w:asciiTheme="minorHAnsi" w:hAnsiTheme="minorHAnsi" w:cstheme="minorHAnsi"/>
                <w:b/>
                <w:bCs w:val="0"/>
                <w:sz w:val="22"/>
                <w:szCs w:val="22"/>
              </w:rPr>
              <w:t xml:space="preserve">2024 New crosses. </w:t>
            </w:r>
            <w:r w:rsidR="007E02DE" w:rsidRPr="00AF41D8">
              <w:rPr>
                <w:rFonts w:asciiTheme="minorHAnsi" w:hAnsiTheme="minorHAnsi" w:cstheme="minorHAnsi"/>
                <w:sz w:val="22"/>
                <w:szCs w:val="22"/>
              </w:rPr>
              <w:t xml:space="preserve">The F1 seeds derived from the new crosses have already been sent to Costa Rica for the generation and advancement of the population. </w:t>
            </w:r>
          </w:p>
          <w:p w14:paraId="07DD206C" w14:textId="461387AB" w:rsidR="00F7507D" w:rsidRPr="00F7507D" w:rsidRDefault="00F7507D" w:rsidP="007E02DE">
            <w:pPr>
              <w:jc w:val="both"/>
            </w:pPr>
          </w:p>
        </w:tc>
      </w:tr>
    </w:tbl>
    <w:p w14:paraId="4FEF4A6F" w14:textId="77777777" w:rsidR="007244A0" w:rsidRPr="003507CA" w:rsidRDefault="007244A0" w:rsidP="007E02DE">
      <w:pPr>
        <w:spacing w:line="240" w:lineRule="auto"/>
        <w:jc w:val="both"/>
        <w:rPr>
          <w:rFonts w:asciiTheme="minorHAnsi" w:hAnsiTheme="minorHAnsi" w:cstheme="minorHAnsi"/>
          <w:sz w:val="22"/>
          <w:szCs w:val="22"/>
        </w:rPr>
      </w:pPr>
    </w:p>
    <w:sectPr w:rsidR="007244A0" w:rsidRPr="003507CA" w:rsidSect="009562EC">
      <w:headerReference w:type="first" r:id="rId8"/>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815ED" w14:textId="77777777" w:rsidR="00421A98" w:rsidRDefault="00421A98" w:rsidP="00BD1E89">
      <w:pPr>
        <w:spacing w:line="240" w:lineRule="auto"/>
      </w:pPr>
      <w:r>
        <w:separator/>
      </w:r>
    </w:p>
  </w:endnote>
  <w:endnote w:type="continuationSeparator" w:id="0">
    <w:p w14:paraId="0AF05563" w14:textId="77777777" w:rsidR="00421A98" w:rsidRDefault="00421A98"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804BE" w14:textId="77777777" w:rsidR="00421A98" w:rsidRDefault="00421A98" w:rsidP="00BD1E89">
      <w:pPr>
        <w:spacing w:line="240" w:lineRule="auto"/>
      </w:pPr>
      <w:r>
        <w:separator/>
      </w:r>
    </w:p>
  </w:footnote>
  <w:footnote w:type="continuationSeparator" w:id="0">
    <w:p w14:paraId="393845B8" w14:textId="77777777" w:rsidR="00421A98" w:rsidRDefault="00421A98"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E9FD" w14:textId="4069B509"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000944">
    <w:abstractNumId w:val="20"/>
  </w:num>
  <w:num w:numId="2" w16cid:durableId="1942566470">
    <w:abstractNumId w:val="24"/>
  </w:num>
  <w:num w:numId="3" w16cid:durableId="912086575">
    <w:abstractNumId w:val="4"/>
  </w:num>
  <w:num w:numId="4" w16cid:durableId="1749764468">
    <w:abstractNumId w:val="5"/>
  </w:num>
  <w:num w:numId="5" w16cid:durableId="1538273643">
    <w:abstractNumId w:val="23"/>
  </w:num>
  <w:num w:numId="6" w16cid:durableId="775446250">
    <w:abstractNumId w:val="13"/>
  </w:num>
  <w:num w:numId="7" w16cid:durableId="1776050356">
    <w:abstractNumId w:val="8"/>
  </w:num>
  <w:num w:numId="8" w16cid:durableId="458031251">
    <w:abstractNumId w:val="26"/>
  </w:num>
  <w:num w:numId="9" w16cid:durableId="568426284">
    <w:abstractNumId w:val="9"/>
  </w:num>
  <w:num w:numId="10" w16cid:durableId="280115417">
    <w:abstractNumId w:val="12"/>
  </w:num>
  <w:num w:numId="11" w16cid:durableId="1855849482">
    <w:abstractNumId w:val="14"/>
  </w:num>
  <w:num w:numId="12" w16cid:durableId="1868521721">
    <w:abstractNumId w:val="23"/>
  </w:num>
  <w:num w:numId="13" w16cid:durableId="1894653249">
    <w:abstractNumId w:val="19"/>
  </w:num>
  <w:num w:numId="14" w16cid:durableId="1876039067">
    <w:abstractNumId w:val="6"/>
  </w:num>
  <w:num w:numId="15" w16cid:durableId="1761222171">
    <w:abstractNumId w:val="28"/>
  </w:num>
  <w:num w:numId="16" w16cid:durableId="623272756">
    <w:abstractNumId w:val="18"/>
  </w:num>
  <w:num w:numId="17" w16cid:durableId="1257052508">
    <w:abstractNumId w:val="2"/>
  </w:num>
  <w:num w:numId="18" w16cid:durableId="2056736168">
    <w:abstractNumId w:val="17"/>
  </w:num>
  <w:num w:numId="19" w16cid:durableId="95910002">
    <w:abstractNumId w:val="7"/>
  </w:num>
  <w:num w:numId="20" w16cid:durableId="1915310077">
    <w:abstractNumId w:val="27"/>
  </w:num>
  <w:num w:numId="21" w16cid:durableId="1183125441">
    <w:abstractNumId w:val="10"/>
  </w:num>
  <w:num w:numId="22" w16cid:durableId="552934205">
    <w:abstractNumId w:val="15"/>
  </w:num>
  <w:num w:numId="23" w16cid:durableId="2026133936">
    <w:abstractNumId w:val="25"/>
  </w:num>
  <w:num w:numId="24" w16cid:durableId="1926331197">
    <w:abstractNumId w:val="13"/>
  </w:num>
  <w:num w:numId="25" w16cid:durableId="886524867">
    <w:abstractNumId w:val="23"/>
  </w:num>
  <w:num w:numId="26" w16cid:durableId="1592739403">
    <w:abstractNumId w:val="23"/>
  </w:num>
  <w:num w:numId="27" w16cid:durableId="1330984986">
    <w:abstractNumId w:val="23"/>
  </w:num>
  <w:num w:numId="28" w16cid:durableId="1682972754">
    <w:abstractNumId w:val="23"/>
  </w:num>
  <w:num w:numId="29" w16cid:durableId="1267688814">
    <w:abstractNumId w:val="13"/>
  </w:num>
  <w:num w:numId="30" w16cid:durableId="822282846">
    <w:abstractNumId w:val="13"/>
  </w:num>
  <w:num w:numId="31" w16cid:durableId="962997958">
    <w:abstractNumId w:val="13"/>
  </w:num>
  <w:num w:numId="32" w16cid:durableId="1800226836">
    <w:abstractNumId w:val="13"/>
  </w:num>
  <w:num w:numId="33" w16cid:durableId="1862084945">
    <w:abstractNumId w:val="13"/>
  </w:num>
  <w:num w:numId="34" w16cid:durableId="1562056055">
    <w:abstractNumId w:val="23"/>
  </w:num>
  <w:num w:numId="35" w16cid:durableId="1994676414">
    <w:abstractNumId w:val="23"/>
  </w:num>
  <w:num w:numId="36" w16cid:durableId="1079600975">
    <w:abstractNumId w:val="30"/>
  </w:num>
  <w:num w:numId="37" w16cid:durableId="169875917">
    <w:abstractNumId w:val="1"/>
  </w:num>
  <w:num w:numId="38" w16cid:durableId="1978946831">
    <w:abstractNumId w:val="0"/>
  </w:num>
  <w:num w:numId="39" w16cid:durableId="1903712265">
    <w:abstractNumId w:val="29"/>
  </w:num>
  <w:num w:numId="40" w16cid:durableId="749545178">
    <w:abstractNumId w:val="11"/>
  </w:num>
  <w:num w:numId="41" w16cid:durableId="1989631334">
    <w:abstractNumId w:val="16"/>
  </w:num>
  <w:num w:numId="42" w16cid:durableId="777676153">
    <w:abstractNumId w:val="22"/>
  </w:num>
  <w:num w:numId="43" w16cid:durableId="1860006583">
    <w:abstractNumId w:val="3"/>
  </w:num>
  <w:num w:numId="44" w16cid:durableId="386345578">
    <w:abstractNumId w:val="21"/>
  </w:num>
  <w:num w:numId="45" w16cid:durableId="2045908575">
    <w:abstractNumId w:val="23"/>
  </w:num>
  <w:num w:numId="46" w16cid:durableId="9029813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14790"/>
    <w:rsid w:val="0001709F"/>
    <w:rsid w:val="000205CE"/>
    <w:rsid w:val="0003601D"/>
    <w:rsid w:val="00037FDA"/>
    <w:rsid w:val="0004056A"/>
    <w:rsid w:val="00054EF7"/>
    <w:rsid w:val="000613DF"/>
    <w:rsid w:val="0007079A"/>
    <w:rsid w:val="000760EE"/>
    <w:rsid w:val="00083E61"/>
    <w:rsid w:val="00087C7F"/>
    <w:rsid w:val="000942F4"/>
    <w:rsid w:val="000A378E"/>
    <w:rsid w:val="000B06CD"/>
    <w:rsid w:val="000B7D6D"/>
    <w:rsid w:val="000C41F6"/>
    <w:rsid w:val="000C5A6C"/>
    <w:rsid w:val="000D654B"/>
    <w:rsid w:val="000D726D"/>
    <w:rsid w:val="000D7378"/>
    <w:rsid w:val="000D782C"/>
    <w:rsid w:val="000E1B6D"/>
    <w:rsid w:val="000E6330"/>
    <w:rsid w:val="00107714"/>
    <w:rsid w:val="00115BC3"/>
    <w:rsid w:val="00123E01"/>
    <w:rsid w:val="00153F61"/>
    <w:rsid w:val="0016007C"/>
    <w:rsid w:val="00162654"/>
    <w:rsid w:val="00171586"/>
    <w:rsid w:val="00184DBB"/>
    <w:rsid w:val="001943BF"/>
    <w:rsid w:val="001A6320"/>
    <w:rsid w:val="001B38A6"/>
    <w:rsid w:val="001B5C81"/>
    <w:rsid w:val="001C3132"/>
    <w:rsid w:val="001C34A3"/>
    <w:rsid w:val="001C4C57"/>
    <w:rsid w:val="001C57D8"/>
    <w:rsid w:val="001D1DD2"/>
    <w:rsid w:val="001D3E8E"/>
    <w:rsid w:val="001E2F8F"/>
    <w:rsid w:val="00203599"/>
    <w:rsid w:val="002044CF"/>
    <w:rsid w:val="002148E3"/>
    <w:rsid w:val="00222CD2"/>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2F05D6"/>
    <w:rsid w:val="00300AEB"/>
    <w:rsid w:val="00302EDA"/>
    <w:rsid w:val="00320C8D"/>
    <w:rsid w:val="0032545C"/>
    <w:rsid w:val="003312EE"/>
    <w:rsid w:val="00333B09"/>
    <w:rsid w:val="00335A26"/>
    <w:rsid w:val="00335FC1"/>
    <w:rsid w:val="003507CA"/>
    <w:rsid w:val="0035304F"/>
    <w:rsid w:val="003621D3"/>
    <w:rsid w:val="00362A90"/>
    <w:rsid w:val="00373BBC"/>
    <w:rsid w:val="00383AB7"/>
    <w:rsid w:val="00383F0E"/>
    <w:rsid w:val="00390570"/>
    <w:rsid w:val="00392592"/>
    <w:rsid w:val="00396079"/>
    <w:rsid w:val="003B2A34"/>
    <w:rsid w:val="003B5F5A"/>
    <w:rsid w:val="003B7A55"/>
    <w:rsid w:val="003D3E21"/>
    <w:rsid w:val="003D5E63"/>
    <w:rsid w:val="003D6401"/>
    <w:rsid w:val="003F6841"/>
    <w:rsid w:val="00402D0B"/>
    <w:rsid w:val="00406CFF"/>
    <w:rsid w:val="004073DA"/>
    <w:rsid w:val="004076FD"/>
    <w:rsid w:val="00410A0D"/>
    <w:rsid w:val="0041728E"/>
    <w:rsid w:val="0042023B"/>
    <w:rsid w:val="00421A98"/>
    <w:rsid w:val="00424292"/>
    <w:rsid w:val="00425FE4"/>
    <w:rsid w:val="004307E6"/>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10149"/>
    <w:rsid w:val="00521C25"/>
    <w:rsid w:val="00535394"/>
    <w:rsid w:val="0054156B"/>
    <w:rsid w:val="00567987"/>
    <w:rsid w:val="00582B63"/>
    <w:rsid w:val="005844D0"/>
    <w:rsid w:val="00596B63"/>
    <w:rsid w:val="005A3226"/>
    <w:rsid w:val="005A61C0"/>
    <w:rsid w:val="005B5964"/>
    <w:rsid w:val="005D7144"/>
    <w:rsid w:val="005E2A77"/>
    <w:rsid w:val="005E7DB4"/>
    <w:rsid w:val="005F492E"/>
    <w:rsid w:val="0060410C"/>
    <w:rsid w:val="00605758"/>
    <w:rsid w:val="00605BA8"/>
    <w:rsid w:val="00624140"/>
    <w:rsid w:val="00632864"/>
    <w:rsid w:val="00643728"/>
    <w:rsid w:val="006507FB"/>
    <w:rsid w:val="006572F3"/>
    <w:rsid w:val="00657693"/>
    <w:rsid w:val="00662A69"/>
    <w:rsid w:val="006709BB"/>
    <w:rsid w:val="00684BCF"/>
    <w:rsid w:val="00685ED5"/>
    <w:rsid w:val="00693D9D"/>
    <w:rsid w:val="0069666C"/>
    <w:rsid w:val="006A3912"/>
    <w:rsid w:val="006A6A77"/>
    <w:rsid w:val="006A6CCC"/>
    <w:rsid w:val="006B1F6B"/>
    <w:rsid w:val="006C524E"/>
    <w:rsid w:val="006D3433"/>
    <w:rsid w:val="006E0A14"/>
    <w:rsid w:val="006E24E6"/>
    <w:rsid w:val="006E412F"/>
    <w:rsid w:val="006F26E4"/>
    <w:rsid w:val="006F6240"/>
    <w:rsid w:val="006F62F8"/>
    <w:rsid w:val="00704574"/>
    <w:rsid w:val="00713B34"/>
    <w:rsid w:val="00717254"/>
    <w:rsid w:val="007244A0"/>
    <w:rsid w:val="007249F5"/>
    <w:rsid w:val="007259A0"/>
    <w:rsid w:val="00727DDA"/>
    <w:rsid w:val="00733D8F"/>
    <w:rsid w:val="00736421"/>
    <w:rsid w:val="00744EF4"/>
    <w:rsid w:val="00773484"/>
    <w:rsid w:val="00777C6E"/>
    <w:rsid w:val="007823B2"/>
    <w:rsid w:val="00782D0B"/>
    <w:rsid w:val="007860C0"/>
    <w:rsid w:val="00794235"/>
    <w:rsid w:val="00796430"/>
    <w:rsid w:val="007A3B1F"/>
    <w:rsid w:val="007A72A3"/>
    <w:rsid w:val="007B0BBB"/>
    <w:rsid w:val="007B7BC8"/>
    <w:rsid w:val="007C03E3"/>
    <w:rsid w:val="007C2C8A"/>
    <w:rsid w:val="007C520F"/>
    <w:rsid w:val="007C736C"/>
    <w:rsid w:val="007D0E1B"/>
    <w:rsid w:val="007D5174"/>
    <w:rsid w:val="007E02DE"/>
    <w:rsid w:val="007E59CB"/>
    <w:rsid w:val="007F6D16"/>
    <w:rsid w:val="00806DDF"/>
    <w:rsid w:val="008101B7"/>
    <w:rsid w:val="00810449"/>
    <w:rsid w:val="00824CD4"/>
    <w:rsid w:val="00841458"/>
    <w:rsid w:val="008427B7"/>
    <w:rsid w:val="008457BA"/>
    <w:rsid w:val="00845912"/>
    <w:rsid w:val="00850D37"/>
    <w:rsid w:val="008562C0"/>
    <w:rsid w:val="008618D2"/>
    <w:rsid w:val="00864BAF"/>
    <w:rsid w:val="0088793A"/>
    <w:rsid w:val="00890C26"/>
    <w:rsid w:val="008934FD"/>
    <w:rsid w:val="00897B7D"/>
    <w:rsid w:val="008B1D7D"/>
    <w:rsid w:val="008B4A0E"/>
    <w:rsid w:val="008C6D67"/>
    <w:rsid w:val="008D473B"/>
    <w:rsid w:val="008E391F"/>
    <w:rsid w:val="008F1BE4"/>
    <w:rsid w:val="008F1CF3"/>
    <w:rsid w:val="008F5FC8"/>
    <w:rsid w:val="00917422"/>
    <w:rsid w:val="00917D79"/>
    <w:rsid w:val="009211F7"/>
    <w:rsid w:val="0092416B"/>
    <w:rsid w:val="009245D5"/>
    <w:rsid w:val="009258E5"/>
    <w:rsid w:val="00944003"/>
    <w:rsid w:val="009562EC"/>
    <w:rsid w:val="00957DE7"/>
    <w:rsid w:val="0096092A"/>
    <w:rsid w:val="00964D40"/>
    <w:rsid w:val="00966780"/>
    <w:rsid w:val="0097290B"/>
    <w:rsid w:val="00974467"/>
    <w:rsid w:val="00981460"/>
    <w:rsid w:val="00994AEE"/>
    <w:rsid w:val="009A18AF"/>
    <w:rsid w:val="009C246A"/>
    <w:rsid w:val="009C5215"/>
    <w:rsid w:val="009C5A99"/>
    <w:rsid w:val="009D3BC1"/>
    <w:rsid w:val="009D4D42"/>
    <w:rsid w:val="009D5AFE"/>
    <w:rsid w:val="009D739E"/>
    <w:rsid w:val="009E19AE"/>
    <w:rsid w:val="009E649C"/>
    <w:rsid w:val="009F4968"/>
    <w:rsid w:val="009F601E"/>
    <w:rsid w:val="009F6283"/>
    <w:rsid w:val="00A1615F"/>
    <w:rsid w:val="00A20BF0"/>
    <w:rsid w:val="00A31942"/>
    <w:rsid w:val="00A35706"/>
    <w:rsid w:val="00A37E7D"/>
    <w:rsid w:val="00A433FA"/>
    <w:rsid w:val="00A44140"/>
    <w:rsid w:val="00A50FE6"/>
    <w:rsid w:val="00A65BD5"/>
    <w:rsid w:val="00A71013"/>
    <w:rsid w:val="00A80AEA"/>
    <w:rsid w:val="00A86BA2"/>
    <w:rsid w:val="00A929F3"/>
    <w:rsid w:val="00AA0D60"/>
    <w:rsid w:val="00AA6752"/>
    <w:rsid w:val="00AB4B27"/>
    <w:rsid w:val="00AB63EC"/>
    <w:rsid w:val="00AC69AD"/>
    <w:rsid w:val="00AD5407"/>
    <w:rsid w:val="00AE34BF"/>
    <w:rsid w:val="00AE3CBA"/>
    <w:rsid w:val="00AE4A02"/>
    <w:rsid w:val="00AE6500"/>
    <w:rsid w:val="00AF41D8"/>
    <w:rsid w:val="00B07557"/>
    <w:rsid w:val="00B14548"/>
    <w:rsid w:val="00B14FD9"/>
    <w:rsid w:val="00B162EB"/>
    <w:rsid w:val="00B20FB0"/>
    <w:rsid w:val="00B27218"/>
    <w:rsid w:val="00B316A1"/>
    <w:rsid w:val="00B31D47"/>
    <w:rsid w:val="00B33DA7"/>
    <w:rsid w:val="00B3786C"/>
    <w:rsid w:val="00B42C7C"/>
    <w:rsid w:val="00B54C8A"/>
    <w:rsid w:val="00B603B4"/>
    <w:rsid w:val="00B67297"/>
    <w:rsid w:val="00B7052F"/>
    <w:rsid w:val="00B70920"/>
    <w:rsid w:val="00B71665"/>
    <w:rsid w:val="00B74CE8"/>
    <w:rsid w:val="00B7562B"/>
    <w:rsid w:val="00B7577C"/>
    <w:rsid w:val="00B84923"/>
    <w:rsid w:val="00B9325C"/>
    <w:rsid w:val="00B9392A"/>
    <w:rsid w:val="00B9516B"/>
    <w:rsid w:val="00BA502A"/>
    <w:rsid w:val="00BB25AA"/>
    <w:rsid w:val="00BC38B5"/>
    <w:rsid w:val="00BC3D5F"/>
    <w:rsid w:val="00BD1884"/>
    <w:rsid w:val="00BD1E89"/>
    <w:rsid w:val="00BE0222"/>
    <w:rsid w:val="00BE7127"/>
    <w:rsid w:val="00BF333A"/>
    <w:rsid w:val="00C02347"/>
    <w:rsid w:val="00C223FB"/>
    <w:rsid w:val="00C52FCC"/>
    <w:rsid w:val="00C55C81"/>
    <w:rsid w:val="00C601A6"/>
    <w:rsid w:val="00C602B2"/>
    <w:rsid w:val="00C71FDE"/>
    <w:rsid w:val="00C748A6"/>
    <w:rsid w:val="00C758F8"/>
    <w:rsid w:val="00C9612A"/>
    <w:rsid w:val="00CA2F5D"/>
    <w:rsid w:val="00CA4CDD"/>
    <w:rsid w:val="00CC0B25"/>
    <w:rsid w:val="00CD0D59"/>
    <w:rsid w:val="00CE3858"/>
    <w:rsid w:val="00CE4772"/>
    <w:rsid w:val="00CE7303"/>
    <w:rsid w:val="00CF1E6A"/>
    <w:rsid w:val="00CF61F6"/>
    <w:rsid w:val="00D00099"/>
    <w:rsid w:val="00D04BE9"/>
    <w:rsid w:val="00D04C40"/>
    <w:rsid w:val="00D15EA8"/>
    <w:rsid w:val="00D3649F"/>
    <w:rsid w:val="00D415FF"/>
    <w:rsid w:val="00D42DA7"/>
    <w:rsid w:val="00D436C4"/>
    <w:rsid w:val="00D43767"/>
    <w:rsid w:val="00D44A86"/>
    <w:rsid w:val="00D50CA1"/>
    <w:rsid w:val="00D66CF4"/>
    <w:rsid w:val="00D704E3"/>
    <w:rsid w:val="00D7730F"/>
    <w:rsid w:val="00D82056"/>
    <w:rsid w:val="00D83274"/>
    <w:rsid w:val="00D84185"/>
    <w:rsid w:val="00D95201"/>
    <w:rsid w:val="00DA1E9F"/>
    <w:rsid w:val="00DA45E4"/>
    <w:rsid w:val="00DA5F9E"/>
    <w:rsid w:val="00DA700E"/>
    <w:rsid w:val="00DA7C6D"/>
    <w:rsid w:val="00DC7BC5"/>
    <w:rsid w:val="00DD2F80"/>
    <w:rsid w:val="00DE1B8D"/>
    <w:rsid w:val="00DF5E9A"/>
    <w:rsid w:val="00E01D04"/>
    <w:rsid w:val="00E109F2"/>
    <w:rsid w:val="00E11369"/>
    <w:rsid w:val="00E15937"/>
    <w:rsid w:val="00E24EB0"/>
    <w:rsid w:val="00E438DD"/>
    <w:rsid w:val="00E449E4"/>
    <w:rsid w:val="00E5787F"/>
    <w:rsid w:val="00E722DC"/>
    <w:rsid w:val="00E7793C"/>
    <w:rsid w:val="00E806A9"/>
    <w:rsid w:val="00E814B8"/>
    <w:rsid w:val="00E83449"/>
    <w:rsid w:val="00E90475"/>
    <w:rsid w:val="00EA0768"/>
    <w:rsid w:val="00EA25AD"/>
    <w:rsid w:val="00EA2626"/>
    <w:rsid w:val="00EC043D"/>
    <w:rsid w:val="00EC1BEF"/>
    <w:rsid w:val="00ED05E7"/>
    <w:rsid w:val="00ED3898"/>
    <w:rsid w:val="00EE73BE"/>
    <w:rsid w:val="00EF3730"/>
    <w:rsid w:val="00EF3E19"/>
    <w:rsid w:val="00EF45C6"/>
    <w:rsid w:val="00EF46CC"/>
    <w:rsid w:val="00F01CE3"/>
    <w:rsid w:val="00F06AE9"/>
    <w:rsid w:val="00F071B8"/>
    <w:rsid w:val="00F11B50"/>
    <w:rsid w:val="00F16477"/>
    <w:rsid w:val="00F17913"/>
    <w:rsid w:val="00F313C9"/>
    <w:rsid w:val="00F35D9B"/>
    <w:rsid w:val="00F37A69"/>
    <w:rsid w:val="00F503DA"/>
    <w:rsid w:val="00F52113"/>
    <w:rsid w:val="00F541F4"/>
    <w:rsid w:val="00F71C12"/>
    <w:rsid w:val="00F7507D"/>
    <w:rsid w:val="00F76142"/>
    <w:rsid w:val="00F87E60"/>
    <w:rsid w:val="00F9685D"/>
    <w:rsid w:val="00F97A67"/>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4AF6"/>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unhideWhenUsed/>
    <w:rsid w:val="000D782C"/>
    <w:rPr>
      <w:sz w:val="20"/>
      <w:szCs w:val="20"/>
    </w:rPr>
  </w:style>
  <w:style w:type="character" w:customStyle="1" w:styleId="CommentTextChar">
    <w:name w:val="Comment Text Char"/>
    <w:basedOn w:val="DefaultParagraphFont"/>
    <w:link w:val="CommentText"/>
    <w:uiPriority w:val="99"/>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UnresolvedMention">
    <w:name w:val="Unresolved Mention"/>
    <w:basedOn w:val="DefaultParagraphFont"/>
    <w:uiPriority w:val="99"/>
    <w:semiHidden/>
    <w:unhideWhenUsed/>
    <w:rsid w:val="008427B7"/>
    <w:rPr>
      <w:color w:val="605E5C"/>
      <w:shd w:val="clear" w:color="auto" w:fill="E1DFDD"/>
    </w:rPr>
  </w:style>
  <w:style w:type="character" w:styleId="FollowedHyperlink">
    <w:name w:val="FollowedHyperlink"/>
    <w:basedOn w:val="DefaultParagraphFont"/>
    <w:uiPriority w:val="99"/>
    <w:semiHidden/>
    <w:unhideWhenUsed/>
    <w:rsid w:val="009D3B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834490474">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88AF4-3F4B-48CC-BBDA-10C8A844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Lin, Feng</cp:lastModifiedBy>
  <cp:revision>8</cp:revision>
  <cp:lastPrinted>2015-12-03T22:07:00Z</cp:lastPrinted>
  <dcterms:created xsi:type="dcterms:W3CDTF">2024-12-12T15:15:00Z</dcterms:created>
  <dcterms:modified xsi:type="dcterms:W3CDTF">2024-12-13T23:09:00Z</dcterms:modified>
</cp:coreProperties>
</file>